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BD58D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BD58D4" w:rsidRDefault="00316FF2">
            <w:pPr>
              <w:rPr>
                <w:rFonts w:ascii="Helvetica" w:hAnsi="Helvetica"/>
              </w:rPr>
            </w:pPr>
            <w:r w:rsidRPr="00BD58D4"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0625" cy="818515"/>
                  <wp:effectExtent l="19050" t="0" r="952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BD58D4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BD58D4">
              <w:rPr>
                <w:rFonts w:ascii="Helvetica" w:hAnsi="Helvetica"/>
                <w:sz w:val="84"/>
              </w:rPr>
              <w:t>JOB DESCRIPTION</w:t>
            </w:r>
          </w:p>
          <w:p w:rsidR="007C1F66" w:rsidRPr="00BD58D4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BD58D4"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7C1F66" w:rsidRPr="00BD58D4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BD58D4" w:rsidRPr="00BD58D4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BD58D4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BD58D4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BD58D4" w:rsidRDefault="00E52FC2" w:rsidP="00EA61DB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Pride Community Centre</w:t>
            </w:r>
            <w:r w:rsidR="00113EE8">
              <w:rPr>
                <w:rFonts w:ascii="Helvetica" w:hAnsi="Helvetica"/>
                <w:b/>
                <w:sz w:val="22"/>
                <w:szCs w:val="22"/>
              </w:rPr>
              <w:t xml:space="preserve"> - </w:t>
            </w:r>
            <w:r w:rsidR="00B6064A" w:rsidRPr="00BD58D4">
              <w:rPr>
                <w:rFonts w:ascii="Helvetica" w:hAnsi="Helvetica"/>
                <w:b/>
                <w:sz w:val="22"/>
                <w:szCs w:val="22"/>
              </w:rPr>
              <w:t xml:space="preserve">Social and Political Advocacy </w:t>
            </w:r>
            <w:r w:rsidR="00A02D6E" w:rsidRPr="00BD58D4">
              <w:rPr>
                <w:rFonts w:ascii="Helvetica" w:hAnsi="Helvetica"/>
                <w:b/>
                <w:sz w:val="22"/>
                <w:szCs w:val="22"/>
              </w:rPr>
              <w:t>Coordinator(s)</w:t>
            </w:r>
          </w:p>
        </w:tc>
      </w:tr>
      <w:tr w:rsidR="00BD58D4" w:rsidRPr="00BD58D4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BD58D4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BD58D4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D58D4" w:rsidRPr="00BD58D4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BD58D4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BD58D4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BD58D4" w:rsidRDefault="003F3D51" w:rsidP="004868BC">
            <w:p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 xml:space="preserve">September 1 </w:t>
            </w:r>
            <w:r w:rsidR="004868BC" w:rsidRPr="00BD58D4">
              <w:rPr>
                <w:rFonts w:ascii="Helvetica" w:hAnsi="Helvetica"/>
                <w:sz w:val="22"/>
                <w:szCs w:val="22"/>
              </w:rPr>
              <w:t>–</w:t>
            </w:r>
            <w:r w:rsidRPr="00BD58D4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4868BC" w:rsidRPr="00BD58D4">
              <w:rPr>
                <w:rFonts w:ascii="Helvetica" w:hAnsi="Helvetica"/>
                <w:sz w:val="22"/>
                <w:szCs w:val="22"/>
              </w:rPr>
              <w:t>April 30</w:t>
            </w:r>
            <w:r w:rsidR="00A02D6E" w:rsidRPr="00BD58D4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A02D6E" w:rsidRPr="00BD58D4">
              <w:rPr>
                <w:rFonts w:ascii="Helvetica"/>
                <w:sz w:val="22"/>
                <w:szCs w:val="22"/>
              </w:rPr>
              <w:t>(Summer Preparation Required)</w:t>
            </w:r>
          </w:p>
        </w:tc>
      </w:tr>
      <w:tr w:rsidR="00BD58D4" w:rsidRPr="00BD58D4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BD58D4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BD58D4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D58D4" w:rsidRPr="00BD58D4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BD58D4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BD58D4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BD58D4" w:rsidRDefault="00E52FC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</w:t>
            </w:r>
            <w:r w:rsidR="00113EE8">
              <w:rPr>
                <w:rFonts w:ascii="Helvetica" w:hAnsi="Helvetica"/>
                <w:sz w:val="22"/>
                <w:szCs w:val="22"/>
              </w:rPr>
              <w:t>ride Community</w:t>
            </w:r>
            <w:r w:rsidR="003F3D51" w:rsidRPr="00BD58D4">
              <w:rPr>
                <w:rFonts w:ascii="Helvetica" w:hAnsi="Helvetica"/>
                <w:sz w:val="22"/>
                <w:szCs w:val="22"/>
              </w:rPr>
              <w:t xml:space="preserve"> Coordinator </w:t>
            </w:r>
          </w:p>
        </w:tc>
      </w:tr>
      <w:tr w:rsidR="00BD58D4" w:rsidRPr="00BD58D4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BD58D4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BD58D4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D58D4" w:rsidRPr="00BD58D4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BD58D4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BD58D4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BD58D4" w:rsidRDefault="00212101">
            <w:p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BD58D4" w:rsidRPr="00BD58D4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BD58D4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BD58D4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D58D4" w:rsidRPr="00BD58D4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BD58D4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BD58D4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BD58D4" w:rsidRDefault="002A5B05" w:rsidP="004868BC">
            <w:p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8</w:t>
            </w:r>
            <w:r w:rsidR="003F3D51" w:rsidRPr="00BD58D4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4868BC" w:rsidRPr="00BD58D4">
              <w:rPr>
                <w:rFonts w:ascii="Helvetica" w:hAnsi="Helvetica"/>
                <w:sz w:val="22"/>
                <w:szCs w:val="22"/>
              </w:rPr>
              <w:t>h</w:t>
            </w:r>
            <w:r w:rsidR="003F3D51" w:rsidRPr="00BD58D4">
              <w:rPr>
                <w:rFonts w:ascii="Helvetica" w:hAnsi="Helvetica"/>
                <w:sz w:val="22"/>
                <w:szCs w:val="22"/>
              </w:rPr>
              <w:t xml:space="preserve">ours per </w:t>
            </w:r>
            <w:r w:rsidR="004868BC" w:rsidRPr="00BD58D4">
              <w:rPr>
                <w:rFonts w:ascii="Helvetica" w:hAnsi="Helvetica"/>
                <w:sz w:val="22"/>
                <w:szCs w:val="22"/>
              </w:rPr>
              <w:t>w</w:t>
            </w:r>
            <w:r w:rsidR="003F3D51" w:rsidRPr="00BD58D4">
              <w:rPr>
                <w:rFonts w:ascii="Helvetica" w:hAnsi="Helvetica"/>
                <w:sz w:val="22"/>
                <w:szCs w:val="22"/>
              </w:rPr>
              <w:t>eek</w:t>
            </w:r>
            <w:r w:rsidR="00A02D6E" w:rsidRPr="00BD58D4">
              <w:rPr>
                <w:rFonts w:ascii="Helvetica"/>
                <w:sz w:val="22"/>
                <w:szCs w:val="22"/>
              </w:rPr>
              <w:t>, variable summer hours</w:t>
            </w:r>
          </w:p>
        </w:tc>
      </w:tr>
    </w:tbl>
    <w:p w:rsidR="007C1F66" w:rsidRPr="00BD58D4" w:rsidRDefault="007C1F66">
      <w:pPr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85"/>
        <w:gridCol w:w="1242"/>
        <w:gridCol w:w="6061"/>
        <w:gridCol w:w="34"/>
        <w:gridCol w:w="34"/>
      </w:tblGrid>
      <w:tr w:rsidR="00BD58D4" w:rsidRPr="00BD58D4" w:rsidTr="00113EE8">
        <w:trPr>
          <w:gridBefore w:val="1"/>
          <w:gridAfter w:val="1"/>
          <w:wBefore w:w="34" w:type="dxa"/>
          <w:wAfter w:w="34" w:type="dxa"/>
        </w:trPr>
        <w:tc>
          <w:tcPr>
            <w:tcW w:w="10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BD58D4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BD58D4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BD58D4" w:rsidTr="00113EE8">
        <w:trPr>
          <w:gridBefore w:val="1"/>
          <w:gridAfter w:val="1"/>
          <w:wBefore w:w="34" w:type="dxa"/>
          <w:wAfter w:w="34" w:type="dxa"/>
        </w:trPr>
        <w:tc>
          <w:tcPr>
            <w:tcW w:w="1042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BD58D4" w:rsidRDefault="00DB66AB" w:rsidP="00DB66AB">
            <w:pPr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</w:pPr>
            <w:r w:rsidRPr="00BD58D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The Social and Political Advocacy </w:t>
            </w:r>
            <w:r w:rsidR="00A02D6E" w:rsidRPr="00BD58D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Coordinator(s)</w:t>
            </w:r>
            <w:r w:rsidRPr="00BD58D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will be responsible for creating an inclusive and oppression free culture within the </w:t>
            </w:r>
            <w:r w:rsidR="00E52FC2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P</w:t>
            </w:r>
            <w:r w:rsidRPr="00BD58D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CC through events, training, and advocacy. The Social and Political Advocacy </w:t>
            </w:r>
            <w:r w:rsidR="00A02D6E" w:rsidRPr="00BD58D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Coordinator(s)</w:t>
            </w:r>
            <w:r w:rsidRPr="00BD58D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will assist with the implementation of the two </w:t>
            </w:r>
            <w:r w:rsidR="007810FE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PCC</w:t>
            </w:r>
            <w:r w:rsidR="007810FE" w:rsidRPr="00BD58D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</w:t>
            </w:r>
            <w:r w:rsidRPr="00BD58D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campaigns: Mac Pride and </w:t>
            </w:r>
            <w:r w:rsidR="007810FE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Pride</w:t>
            </w:r>
            <w:r w:rsidR="007810FE" w:rsidRPr="00BD58D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</w:t>
            </w:r>
            <w:r w:rsidRPr="00BD58D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History Week. The role of the Social and Political Advocacy </w:t>
            </w:r>
            <w:r w:rsidR="00A02D6E" w:rsidRPr="00BD58D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Coordinator(s)</w:t>
            </w:r>
            <w:r w:rsidRPr="00BD58D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is to promote inclusion and diversity within and outside the </w:t>
            </w:r>
            <w:r w:rsidR="00E52FC2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P</w:t>
            </w:r>
            <w:r w:rsidR="00A02D6E" w:rsidRPr="00BD58D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CC </w:t>
            </w:r>
            <w:r w:rsidRPr="00BD58D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and ensure the complexities of intersecting identities are considered in all </w:t>
            </w:r>
            <w:r w:rsidR="00E52FC2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P</w:t>
            </w:r>
            <w:r w:rsidRPr="00BD58D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CC initiatives, and by advocating to external organizations. The ideal candidate </w:t>
            </w:r>
            <w:r w:rsidR="00A02D6E" w:rsidRPr="00BD58D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is</w:t>
            </w:r>
            <w:r w:rsidRPr="00BD58D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familiar or will familiarize themselves with anti-oppression concepts, </w:t>
            </w:r>
            <w:r w:rsidR="00A02D6E" w:rsidRPr="00BD58D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is </w:t>
            </w:r>
            <w:r w:rsidRPr="00BD58D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dedicated to inclusion, and </w:t>
            </w:r>
            <w:r w:rsidR="00A02D6E" w:rsidRPr="00BD58D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is </w:t>
            </w:r>
            <w:r w:rsidRPr="00BD58D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self-motivated.</w:t>
            </w:r>
          </w:p>
        </w:tc>
      </w:tr>
      <w:tr w:rsidR="00BD58D4" w:rsidRPr="00BD58D4" w:rsidTr="0011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3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BD58D4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BD58D4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BD58D4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BD58D4" w:rsidRPr="00BD58D4" w:rsidTr="0011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4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BD58D4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BD58D4" w:rsidRPr="00BD58D4" w:rsidTr="0011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2"/>
        </w:trPr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BD58D4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BD58D4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BD58D4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BD58D4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BD58D4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BD58D4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BD58D4" w:rsidRPr="00BD58D4" w:rsidTr="0011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4540" w:rsidRPr="00BD58D4" w:rsidRDefault="00894540">
            <w:p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 xml:space="preserve">Supervisory &amp; Administrative Function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40" w:rsidRPr="00BD58D4" w:rsidRDefault="000F3BA3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25</w:t>
            </w:r>
            <w:r w:rsidR="00894540" w:rsidRPr="00BD58D4">
              <w:rPr>
                <w:rFonts w:ascii="Helvetica" w:hAnsi="Helvetica"/>
                <w:sz w:val="22"/>
                <w:szCs w:val="22"/>
              </w:rPr>
              <w:t xml:space="preserve"> %</w:t>
            </w:r>
          </w:p>
        </w:tc>
        <w:tc>
          <w:tcPr>
            <w:tcW w:w="6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2D6E" w:rsidRPr="00BD58D4" w:rsidRDefault="00E52FC2" w:rsidP="00BD58D4">
            <w:pPr>
              <w:pStyle w:val="Body"/>
              <w:numPr>
                <w:ilvl w:val="0"/>
                <w:numId w:val="2"/>
              </w:numPr>
              <w:rPr>
                <w:rFonts w:ascii="Helvetica"/>
                <w:color w:val="auto"/>
                <w:sz w:val="22"/>
                <w:szCs w:val="22"/>
              </w:rPr>
            </w:pPr>
            <w:r>
              <w:rPr>
                <w:rFonts w:ascii="Helvetica"/>
                <w:color w:val="auto"/>
                <w:sz w:val="22"/>
                <w:szCs w:val="22"/>
                <w:lang w:val="en-US"/>
              </w:rPr>
              <w:t>Planning</w:t>
            </w:r>
            <w:r w:rsidR="00A02D6E" w:rsidRPr="00BD58D4">
              <w:rPr>
                <w:rFonts w:ascii="Helvetica"/>
                <w:color w:val="auto"/>
                <w:sz w:val="22"/>
                <w:szCs w:val="22"/>
                <w:lang w:val="en-US"/>
              </w:rPr>
              <w:t xml:space="preserve">, designing, and implementing informational campaigns that seek to educate and raise awareness of </w:t>
            </w:r>
            <w:r>
              <w:rPr>
                <w:rFonts w:ascii="Helvetica"/>
                <w:color w:val="auto"/>
                <w:sz w:val="22"/>
                <w:szCs w:val="22"/>
                <w:lang w:val="en-US"/>
              </w:rPr>
              <w:t>LGBTQ2SI+</w:t>
            </w:r>
            <w:r w:rsidR="00A02D6E" w:rsidRPr="00BD58D4">
              <w:rPr>
                <w:rFonts w:ascii="Helvetica"/>
                <w:color w:val="auto"/>
                <w:sz w:val="22"/>
                <w:szCs w:val="22"/>
                <w:lang w:val="en-US"/>
              </w:rPr>
              <w:t xml:space="preserve"> and equity-related issues to the McMaster student community.</w:t>
            </w:r>
          </w:p>
          <w:p w:rsidR="00894540" w:rsidRPr="00BD58D4" w:rsidRDefault="00894540" w:rsidP="00A02D6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 xml:space="preserve">Understand and advocate </w:t>
            </w:r>
            <w:r w:rsidR="00EA61DB" w:rsidRPr="00BD58D4">
              <w:rPr>
                <w:rFonts w:ascii="Helvetica" w:hAnsi="Helvetica"/>
                <w:sz w:val="22"/>
                <w:szCs w:val="22"/>
              </w:rPr>
              <w:t xml:space="preserve">for </w:t>
            </w:r>
            <w:r w:rsidRPr="00BD58D4">
              <w:rPr>
                <w:rFonts w:ascii="Helvetica" w:hAnsi="Helvetica"/>
                <w:sz w:val="22"/>
                <w:szCs w:val="22"/>
              </w:rPr>
              <w:t>the needs of LGBTQ</w:t>
            </w:r>
            <w:r w:rsidR="00E52FC2">
              <w:rPr>
                <w:rFonts w:ascii="Helvetica" w:hAnsi="Helvetica"/>
                <w:sz w:val="22"/>
                <w:szCs w:val="22"/>
              </w:rPr>
              <w:t>2SI</w:t>
            </w:r>
            <w:r w:rsidRPr="00BD58D4">
              <w:rPr>
                <w:rFonts w:ascii="Helvetica" w:hAnsi="Helvetica"/>
                <w:sz w:val="22"/>
                <w:szCs w:val="22"/>
              </w:rPr>
              <w:t>+ identified students.</w:t>
            </w:r>
          </w:p>
          <w:p w:rsidR="00894540" w:rsidRPr="00BD58D4" w:rsidRDefault="00EA61DB" w:rsidP="00A02D6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P</w:t>
            </w:r>
            <w:r w:rsidR="00894540" w:rsidRPr="00BD58D4">
              <w:rPr>
                <w:rFonts w:ascii="Helvetica" w:hAnsi="Helvetica"/>
                <w:sz w:val="22"/>
                <w:szCs w:val="22"/>
              </w:rPr>
              <w:t>lan and implement events (1 event per month) related to LGBTQ</w:t>
            </w:r>
            <w:r w:rsidR="00E52FC2">
              <w:rPr>
                <w:rFonts w:ascii="Helvetica" w:hAnsi="Helvetica"/>
                <w:sz w:val="22"/>
                <w:szCs w:val="22"/>
              </w:rPr>
              <w:t>2SI</w:t>
            </w:r>
            <w:r w:rsidR="00894540" w:rsidRPr="00BD58D4">
              <w:rPr>
                <w:rFonts w:ascii="Helvetica" w:hAnsi="Helvetica"/>
                <w:sz w:val="22"/>
                <w:szCs w:val="22"/>
              </w:rPr>
              <w:t xml:space="preserve">+ issues. </w:t>
            </w:r>
          </w:p>
          <w:p w:rsidR="00894540" w:rsidRDefault="00894540" w:rsidP="00A02D6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Complete space bookings, EOHSS forms, and other logistical duties</w:t>
            </w:r>
            <w:r w:rsidR="000F3BA3" w:rsidRPr="00BD58D4">
              <w:rPr>
                <w:rFonts w:ascii="Helvetica" w:hAnsi="Helvetica"/>
                <w:sz w:val="22"/>
                <w:szCs w:val="22"/>
              </w:rPr>
              <w:t xml:space="preserve"> in conjunction with the </w:t>
            </w:r>
            <w:r w:rsidR="00E52FC2">
              <w:rPr>
                <w:rFonts w:ascii="Helvetica" w:hAnsi="Helvetica"/>
                <w:sz w:val="22"/>
                <w:szCs w:val="22"/>
              </w:rPr>
              <w:t>P</w:t>
            </w:r>
            <w:r w:rsidR="000F3BA3" w:rsidRPr="00BD58D4">
              <w:rPr>
                <w:rFonts w:ascii="Helvetica" w:hAnsi="Helvetica"/>
                <w:sz w:val="22"/>
                <w:szCs w:val="22"/>
              </w:rPr>
              <w:t>CC Coordinator</w:t>
            </w:r>
            <w:r w:rsidRPr="00BD58D4">
              <w:rPr>
                <w:rFonts w:ascii="Helvetica" w:hAnsi="Helvetica"/>
                <w:sz w:val="22"/>
                <w:szCs w:val="22"/>
              </w:rPr>
              <w:t>.</w:t>
            </w:r>
          </w:p>
          <w:p w:rsidR="007810FE" w:rsidRDefault="007810F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5F4289">
              <w:rPr>
                <w:rFonts w:ascii="Helvetica" w:hAnsi="Helvetica"/>
                <w:sz w:val="22"/>
                <w:szCs w:val="22"/>
              </w:rPr>
              <w:t>Aid the Coordinator</w:t>
            </w:r>
            <w:r>
              <w:rPr>
                <w:rFonts w:ascii="Helvetica" w:hAnsi="Helvetica"/>
                <w:sz w:val="22"/>
                <w:szCs w:val="22"/>
              </w:rPr>
              <w:t>,</w:t>
            </w:r>
            <w:r w:rsidRPr="005F4289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>and the rest of the executive team</w:t>
            </w:r>
            <w:r w:rsidRPr="005F4289">
              <w:rPr>
                <w:rFonts w:ascii="Helvetica" w:hAnsi="Helvetica"/>
                <w:sz w:val="22"/>
                <w:szCs w:val="22"/>
              </w:rPr>
              <w:t xml:space="preserve"> in the planning and execution of September and January training workshops.</w:t>
            </w:r>
          </w:p>
          <w:p w:rsidR="00EE58B1" w:rsidRPr="007810FE" w:rsidRDefault="00EE58B1" w:rsidP="00B8085B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Work with the Volunteer Coordinator ahead of the events to organize volunteers in a thoughtful and resourceful way</w:t>
            </w:r>
          </w:p>
        </w:tc>
      </w:tr>
      <w:tr w:rsidR="00BD58D4" w:rsidRPr="00BD58D4" w:rsidTr="0011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94540" w:rsidRPr="00BD58D4" w:rsidRDefault="00894540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Advocacy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540" w:rsidRPr="00BD58D4" w:rsidRDefault="00894540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30 %</w:t>
            </w:r>
          </w:p>
        </w:tc>
        <w:tc>
          <w:tcPr>
            <w:tcW w:w="61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94540" w:rsidRPr="00BD58D4" w:rsidRDefault="00894540" w:rsidP="002C27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Organize two week</w:t>
            </w:r>
            <w:r w:rsidR="00E52FC2">
              <w:rPr>
                <w:rFonts w:ascii="Helvetica" w:hAnsi="Helvetica"/>
                <w:sz w:val="22"/>
                <w:szCs w:val="22"/>
              </w:rPr>
              <w:t>-</w:t>
            </w:r>
            <w:r w:rsidRPr="00BD58D4">
              <w:rPr>
                <w:rFonts w:ascii="Helvetica" w:hAnsi="Helvetica"/>
                <w:sz w:val="22"/>
                <w:szCs w:val="22"/>
              </w:rPr>
              <w:t>long initiatives during the year: Mac Pride</w:t>
            </w:r>
            <w:r w:rsidR="00EA61DB" w:rsidRPr="00BD58D4">
              <w:rPr>
                <w:rFonts w:ascii="Helvetica" w:hAnsi="Helvetica"/>
                <w:sz w:val="22"/>
                <w:szCs w:val="22"/>
              </w:rPr>
              <w:t xml:space="preserve"> and Quee</w:t>
            </w:r>
            <w:r w:rsidRPr="00BD58D4">
              <w:rPr>
                <w:rFonts w:ascii="Helvetica" w:hAnsi="Helvetica"/>
                <w:sz w:val="22"/>
                <w:szCs w:val="22"/>
              </w:rPr>
              <w:t xml:space="preserve">r History Week in collaboration with the </w:t>
            </w:r>
            <w:r w:rsidR="00A02D6E" w:rsidRPr="00BD58D4">
              <w:rPr>
                <w:rFonts w:ascii="Helvetica" w:hAnsi="Helvetica"/>
                <w:sz w:val="22"/>
                <w:szCs w:val="22"/>
              </w:rPr>
              <w:t>Coordinator</w:t>
            </w:r>
            <w:r w:rsidRPr="00BD58D4">
              <w:rPr>
                <w:rFonts w:ascii="Helvetica" w:hAnsi="Helvetica"/>
                <w:sz w:val="22"/>
                <w:szCs w:val="22"/>
              </w:rPr>
              <w:t xml:space="preserve"> team.  </w:t>
            </w:r>
          </w:p>
          <w:p w:rsidR="00894540" w:rsidRPr="00BD58D4" w:rsidRDefault="00894540" w:rsidP="00575D49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 xml:space="preserve">Ensure that </w:t>
            </w:r>
            <w:r w:rsidR="00202C28" w:rsidRPr="00BD58D4">
              <w:rPr>
                <w:rFonts w:ascii="Helvetica" w:hAnsi="Helvetica"/>
                <w:sz w:val="22"/>
                <w:szCs w:val="22"/>
              </w:rPr>
              <w:t xml:space="preserve">these initiatives </w:t>
            </w:r>
            <w:r w:rsidRPr="00BD58D4">
              <w:rPr>
                <w:rFonts w:ascii="Helvetica" w:hAnsi="Helvetica"/>
                <w:sz w:val="22"/>
                <w:szCs w:val="22"/>
              </w:rPr>
              <w:t xml:space="preserve">are </w:t>
            </w:r>
            <w:r w:rsidR="00202C28" w:rsidRPr="00BD58D4">
              <w:rPr>
                <w:rFonts w:ascii="Helvetica" w:hAnsi="Helvetica"/>
                <w:sz w:val="22"/>
                <w:szCs w:val="22"/>
              </w:rPr>
              <w:t>reflective of</w:t>
            </w:r>
            <w:r w:rsidR="00EA61DB" w:rsidRPr="00BD58D4">
              <w:rPr>
                <w:rFonts w:ascii="Helvetica" w:hAnsi="Helvetica"/>
                <w:sz w:val="22"/>
                <w:szCs w:val="22"/>
              </w:rPr>
              <w:t xml:space="preserve"> current social </w:t>
            </w:r>
            <w:r w:rsidR="00EA61DB" w:rsidRPr="00BD58D4">
              <w:rPr>
                <w:rFonts w:ascii="Helvetica" w:hAnsi="Helvetica"/>
                <w:sz w:val="22"/>
                <w:szCs w:val="22"/>
              </w:rPr>
              <w:lastRenderedPageBreak/>
              <w:t xml:space="preserve">justice topics and the needs of </w:t>
            </w:r>
            <w:r w:rsidR="00202C28" w:rsidRPr="00BD58D4"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00EA61DB" w:rsidRPr="00BD58D4">
              <w:rPr>
                <w:rFonts w:ascii="Helvetica" w:hAnsi="Helvetica"/>
                <w:sz w:val="22"/>
                <w:szCs w:val="22"/>
              </w:rPr>
              <w:t>diverse</w:t>
            </w:r>
            <w:r w:rsidR="00202C28" w:rsidRPr="00BD58D4">
              <w:rPr>
                <w:rFonts w:ascii="Helvetica" w:hAnsi="Helvetica"/>
                <w:sz w:val="22"/>
                <w:szCs w:val="22"/>
              </w:rPr>
              <w:t xml:space="preserve"> LGBTQ</w:t>
            </w:r>
            <w:r w:rsidR="00E52FC2">
              <w:rPr>
                <w:rFonts w:ascii="Helvetica" w:hAnsi="Helvetica"/>
                <w:sz w:val="22"/>
                <w:szCs w:val="22"/>
              </w:rPr>
              <w:t>2SI</w:t>
            </w:r>
            <w:r w:rsidR="00202C28" w:rsidRPr="00BD58D4">
              <w:rPr>
                <w:rFonts w:ascii="Helvetica" w:hAnsi="Helvetica"/>
                <w:sz w:val="22"/>
                <w:szCs w:val="22"/>
              </w:rPr>
              <w:t>+</w:t>
            </w:r>
            <w:r w:rsidR="00EA61DB" w:rsidRPr="00BD58D4">
              <w:rPr>
                <w:rFonts w:ascii="Helvetica" w:hAnsi="Helvetica"/>
                <w:sz w:val="22"/>
                <w:szCs w:val="22"/>
              </w:rPr>
              <w:t xml:space="preserve"> community.</w:t>
            </w:r>
          </w:p>
          <w:p w:rsidR="00894540" w:rsidRPr="00BD58D4" w:rsidRDefault="00894540" w:rsidP="00BB209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 xml:space="preserve">Contribute to efforts </w:t>
            </w:r>
            <w:r w:rsidR="000F3BA3" w:rsidRPr="00BD58D4">
              <w:rPr>
                <w:rFonts w:ascii="Helvetica" w:hAnsi="Helvetica"/>
                <w:sz w:val="22"/>
                <w:szCs w:val="22"/>
              </w:rPr>
              <w:t xml:space="preserve">that act to </w:t>
            </w:r>
            <w:r w:rsidRPr="00BD58D4">
              <w:rPr>
                <w:rFonts w:ascii="Helvetica" w:hAnsi="Helvetica"/>
                <w:sz w:val="22"/>
                <w:szCs w:val="22"/>
              </w:rPr>
              <w:t>address student concern surrounding experiences of marginalization and oppression</w:t>
            </w:r>
          </w:p>
          <w:p w:rsidR="00894540" w:rsidRPr="00BD58D4" w:rsidRDefault="00894540" w:rsidP="00BB209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Organize a LGBTQ</w:t>
            </w:r>
            <w:r w:rsidR="00E52FC2">
              <w:rPr>
                <w:rFonts w:ascii="Helvetica" w:hAnsi="Helvetica"/>
                <w:sz w:val="22"/>
                <w:szCs w:val="22"/>
              </w:rPr>
              <w:t>2SI</w:t>
            </w:r>
            <w:r w:rsidRPr="00BD58D4">
              <w:rPr>
                <w:rFonts w:ascii="Helvetica" w:hAnsi="Helvetica"/>
                <w:sz w:val="22"/>
                <w:szCs w:val="22"/>
              </w:rPr>
              <w:t xml:space="preserve">+ Students Feedback Forum in the second semester that collects feedback from the McMaster community about the inclusivity of </w:t>
            </w:r>
            <w:r w:rsidR="00E52FC2">
              <w:rPr>
                <w:rFonts w:ascii="Helvetica" w:hAnsi="Helvetica"/>
                <w:sz w:val="22"/>
                <w:szCs w:val="22"/>
              </w:rPr>
              <w:t>P</w:t>
            </w:r>
            <w:r w:rsidRPr="00BD58D4">
              <w:rPr>
                <w:rFonts w:ascii="Helvetica" w:hAnsi="Helvetica"/>
                <w:sz w:val="22"/>
                <w:szCs w:val="22"/>
              </w:rPr>
              <w:t>CC initiatives.</w:t>
            </w:r>
          </w:p>
        </w:tc>
      </w:tr>
      <w:tr w:rsidR="00BD58D4" w:rsidRPr="00BD58D4" w:rsidTr="0011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4540" w:rsidRPr="00BD58D4" w:rsidRDefault="00894540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lastRenderedPageBreak/>
              <w:t>Communications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40" w:rsidRPr="00BD58D4" w:rsidRDefault="00894540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 xml:space="preserve"> 20 %</w:t>
            </w:r>
          </w:p>
        </w:tc>
        <w:tc>
          <w:tcPr>
            <w:tcW w:w="6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540" w:rsidRPr="00BD58D4" w:rsidRDefault="00894540" w:rsidP="00BB209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Maintain communication with Human Rights and Equity Services.</w:t>
            </w:r>
          </w:p>
          <w:p w:rsidR="00894540" w:rsidRPr="00BD58D4" w:rsidRDefault="00894540" w:rsidP="00894540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 xml:space="preserve">Aid the Coordinator in reaching out to potential on-campus collaborators including: Diversity Services, WGEN, Maccess, </w:t>
            </w:r>
            <w:r w:rsidR="00E52FC2">
              <w:rPr>
                <w:rFonts w:ascii="Helvetica" w:hAnsi="Helvetica"/>
                <w:sz w:val="22"/>
                <w:szCs w:val="22"/>
              </w:rPr>
              <w:t xml:space="preserve">SHEC, </w:t>
            </w:r>
            <w:r w:rsidRPr="00BD58D4">
              <w:rPr>
                <w:rFonts w:ascii="Helvetica" w:hAnsi="Helvetica"/>
                <w:sz w:val="22"/>
                <w:szCs w:val="22"/>
              </w:rPr>
              <w:t>and MISCA.</w:t>
            </w:r>
          </w:p>
          <w:p w:rsidR="00EA61DB" w:rsidRPr="00BD58D4" w:rsidRDefault="00EA61DB" w:rsidP="00894540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 xml:space="preserve">Serve as the delegate from the </w:t>
            </w:r>
            <w:r w:rsidR="00E52FC2">
              <w:rPr>
                <w:rFonts w:ascii="Helvetica" w:hAnsi="Helvetica"/>
                <w:sz w:val="22"/>
                <w:szCs w:val="22"/>
              </w:rPr>
              <w:t>P</w:t>
            </w:r>
            <w:r w:rsidRPr="00BD58D4">
              <w:rPr>
                <w:rFonts w:ascii="Helvetica" w:hAnsi="Helvetica"/>
                <w:sz w:val="22"/>
                <w:szCs w:val="22"/>
              </w:rPr>
              <w:t>CC in various working groups and service consultations.</w:t>
            </w:r>
          </w:p>
          <w:p w:rsidR="00894540" w:rsidRPr="00BD58D4" w:rsidRDefault="00894540" w:rsidP="00894540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Liaise with like-minded organizations in the Hamilton community to discuss resources,</w:t>
            </w:r>
            <w:r w:rsidR="00202C28" w:rsidRPr="00BD58D4">
              <w:rPr>
                <w:rFonts w:ascii="Helvetica" w:hAnsi="Helvetica"/>
                <w:sz w:val="22"/>
                <w:szCs w:val="22"/>
              </w:rPr>
              <w:t xml:space="preserve"> and</w:t>
            </w:r>
            <w:r w:rsidRPr="00BD58D4">
              <w:rPr>
                <w:rFonts w:ascii="Helvetica" w:hAnsi="Helvetica"/>
                <w:sz w:val="22"/>
                <w:szCs w:val="22"/>
              </w:rPr>
              <w:t xml:space="preserve"> collaboration opportunities</w:t>
            </w:r>
            <w:r w:rsidR="00202C28" w:rsidRPr="00BD58D4">
              <w:rPr>
                <w:rFonts w:ascii="Helvetica" w:hAnsi="Helvetica"/>
                <w:sz w:val="22"/>
                <w:szCs w:val="22"/>
              </w:rPr>
              <w:t>.</w:t>
            </w:r>
          </w:p>
          <w:p w:rsidR="00894540" w:rsidRPr="00BD58D4" w:rsidRDefault="00EA61DB" w:rsidP="00894540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 xml:space="preserve">Participate in weekly </w:t>
            </w:r>
            <w:r w:rsidR="00EE58B1">
              <w:rPr>
                <w:rFonts w:ascii="Helvetica" w:hAnsi="Helvetica"/>
                <w:sz w:val="22"/>
                <w:szCs w:val="22"/>
              </w:rPr>
              <w:t xml:space="preserve">executive team </w:t>
            </w:r>
            <w:r w:rsidRPr="00BD58D4">
              <w:rPr>
                <w:rFonts w:ascii="Helvetica" w:hAnsi="Helvetica"/>
                <w:sz w:val="22"/>
                <w:szCs w:val="22"/>
              </w:rPr>
              <w:t xml:space="preserve">meetings. </w:t>
            </w:r>
          </w:p>
          <w:p w:rsidR="00DB66AB" w:rsidRPr="00BD58D4" w:rsidRDefault="00DB66AB" w:rsidP="00894540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 xml:space="preserve">Work with the </w:t>
            </w:r>
            <w:r w:rsidR="00E52FC2">
              <w:rPr>
                <w:rFonts w:ascii="Helvetica" w:hAnsi="Helvetica"/>
                <w:sz w:val="22"/>
                <w:szCs w:val="22"/>
              </w:rPr>
              <w:t>P</w:t>
            </w:r>
            <w:r w:rsidR="00A02D6E" w:rsidRPr="00BD58D4">
              <w:rPr>
                <w:rFonts w:ascii="Helvetica" w:hAnsi="Helvetica"/>
                <w:sz w:val="22"/>
                <w:szCs w:val="22"/>
              </w:rPr>
              <w:t xml:space="preserve">CC </w:t>
            </w:r>
            <w:r w:rsidRPr="00BD58D4">
              <w:rPr>
                <w:rFonts w:ascii="Helvetica" w:hAnsi="Helvetica"/>
                <w:sz w:val="22"/>
                <w:szCs w:val="22"/>
              </w:rPr>
              <w:t xml:space="preserve">Coordinator, Promotions </w:t>
            </w:r>
            <w:r w:rsidR="00A02D6E" w:rsidRPr="00BD58D4">
              <w:rPr>
                <w:rFonts w:ascii="Helvetica" w:hAnsi="Helvetica"/>
                <w:sz w:val="22"/>
                <w:szCs w:val="22"/>
              </w:rPr>
              <w:t>Coordinator</w:t>
            </w:r>
            <w:r w:rsidRPr="00BD58D4">
              <w:rPr>
                <w:rFonts w:ascii="Helvetica" w:hAnsi="Helvetica"/>
                <w:sz w:val="22"/>
                <w:szCs w:val="22"/>
              </w:rPr>
              <w:t xml:space="preserve">, Collaborators or other involved parties to ensure that all events, initiatives, and collaborations of the </w:t>
            </w:r>
            <w:r w:rsidR="00E52FC2">
              <w:rPr>
                <w:rFonts w:ascii="Helvetica" w:hAnsi="Helvetica"/>
                <w:sz w:val="22"/>
                <w:szCs w:val="22"/>
              </w:rPr>
              <w:t>P</w:t>
            </w:r>
            <w:r w:rsidRPr="00BD58D4">
              <w:rPr>
                <w:rFonts w:ascii="Helvetica" w:hAnsi="Helvetica"/>
                <w:sz w:val="22"/>
                <w:szCs w:val="22"/>
              </w:rPr>
              <w:t>CC are accessible and inclusive whenever possible.</w:t>
            </w:r>
          </w:p>
          <w:p w:rsidR="00A02D6E" w:rsidRPr="00BD58D4" w:rsidRDefault="00A02D6E" w:rsidP="00894540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/>
                <w:sz w:val="22"/>
                <w:szCs w:val="22"/>
              </w:rPr>
              <w:t xml:space="preserve">Create a transition report for the incoming Social and Political Advocacy Coordinator(s) in consultation with the </w:t>
            </w:r>
            <w:r w:rsidR="00E52FC2">
              <w:rPr>
                <w:rFonts w:ascii="Helvetica"/>
                <w:sz w:val="22"/>
                <w:szCs w:val="22"/>
              </w:rPr>
              <w:t>P</w:t>
            </w:r>
            <w:r w:rsidRPr="00BD58D4">
              <w:rPr>
                <w:rFonts w:ascii="Helvetica"/>
                <w:sz w:val="22"/>
                <w:szCs w:val="22"/>
              </w:rPr>
              <w:t>CC Coordinator</w:t>
            </w:r>
          </w:p>
        </w:tc>
      </w:tr>
      <w:tr w:rsidR="00BD58D4" w:rsidRPr="00BD58D4" w:rsidTr="0011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84"/>
        </w:trPr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4540" w:rsidRPr="00BD58D4" w:rsidRDefault="00894540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 xml:space="preserve">Advertising &amp; Promotions Function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40" w:rsidRPr="00BD58D4" w:rsidRDefault="00894540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5 %</w:t>
            </w:r>
          </w:p>
        </w:tc>
        <w:tc>
          <w:tcPr>
            <w:tcW w:w="6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540" w:rsidRPr="00BD58D4" w:rsidRDefault="00894540" w:rsidP="00894540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 xml:space="preserve">Work with the Promotion </w:t>
            </w:r>
            <w:r w:rsidR="00A02D6E" w:rsidRPr="00BD58D4">
              <w:rPr>
                <w:rFonts w:ascii="Helvetica" w:hAnsi="Helvetica"/>
                <w:sz w:val="22"/>
                <w:szCs w:val="22"/>
              </w:rPr>
              <w:t>Coordinator</w:t>
            </w:r>
            <w:r w:rsidRPr="00BD58D4">
              <w:rPr>
                <w:rFonts w:ascii="Helvetica" w:hAnsi="Helvetica"/>
                <w:sz w:val="22"/>
                <w:szCs w:val="22"/>
              </w:rPr>
              <w:t xml:space="preserve"> and the Coordinator to ensure that events, initiatives, and collaborations </w:t>
            </w:r>
            <w:r w:rsidR="00212101" w:rsidRPr="00BD58D4">
              <w:rPr>
                <w:rFonts w:ascii="Helvetica" w:hAnsi="Helvetica"/>
                <w:sz w:val="22"/>
                <w:szCs w:val="22"/>
              </w:rPr>
              <w:t xml:space="preserve">are </w:t>
            </w:r>
            <w:r w:rsidRPr="00BD58D4">
              <w:rPr>
                <w:rFonts w:ascii="Helvetica" w:hAnsi="Helvetica"/>
                <w:sz w:val="22"/>
                <w:szCs w:val="22"/>
              </w:rPr>
              <w:t xml:space="preserve">being promoted </w:t>
            </w:r>
            <w:r w:rsidR="00212101" w:rsidRPr="00BD58D4">
              <w:rPr>
                <w:rFonts w:ascii="Helvetica" w:hAnsi="Helvetica"/>
                <w:sz w:val="22"/>
                <w:szCs w:val="22"/>
              </w:rPr>
              <w:t xml:space="preserve">and </w:t>
            </w:r>
            <w:r w:rsidRPr="00BD58D4">
              <w:rPr>
                <w:rFonts w:ascii="Helvetica" w:hAnsi="Helvetica"/>
                <w:sz w:val="22"/>
                <w:szCs w:val="22"/>
              </w:rPr>
              <w:t>are reflective of the diverse LGBTQ</w:t>
            </w:r>
            <w:r w:rsidR="00E52FC2">
              <w:rPr>
                <w:rFonts w:ascii="Helvetica" w:hAnsi="Helvetica"/>
                <w:sz w:val="22"/>
                <w:szCs w:val="22"/>
              </w:rPr>
              <w:t>2SI</w:t>
            </w:r>
            <w:r w:rsidRPr="00BD58D4">
              <w:rPr>
                <w:rFonts w:ascii="Helvetica" w:hAnsi="Helvetica"/>
                <w:sz w:val="22"/>
                <w:szCs w:val="22"/>
              </w:rPr>
              <w:t>+ community at McMaster.</w:t>
            </w:r>
          </w:p>
        </w:tc>
      </w:tr>
      <w:tr w:rsidR="00BD58D4" w:rsidRPr="00BD58D4" w:rsidTr="0011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4540" w:rsidRPr="00BD58D4" w:rsidRDefault="00894540" w:rsidP="00A20B46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Financial &amp; Budgeting Function</w:t>
            </w:r>
          </w:p>
          <w:p w:rsidR="00894540" w:rsidRPr="00BD58D4" w:rsidRDefault="00894540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40" w:rsidRPr="00BD58D4" w:rsidRDefault="00894540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5 %</w:t>
            </w:r>
          </w:p>
        </w:tc>
        <w:tc>
          <w:tcPr>
            <w:tcW w:w="6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540" w:rsidRPr="00BD58D4" w:rsidRDefault="00894540" w:rsidP="00161F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 xml:space="preserve">Work with the </w:t>
            </w:r>
            <w:r w:rsidR="00E52FC2">
              <w:rPr>
                <w:rFonts w:ascii="Helvetica" w:hAnsi="Helvetica"/>
                <w:sz w:val="22"/>
                <w:szCs w:val="22"/>
              </w:rPr>
              <w:t>P</w:t>
            </w:r>
            <w:r w:rsidRPr="00BD58D4">
              <w:rPr>
                <w:rFonts w:ascii="Helvetica" w:hAnsi="Helvetica"/>
                <w:sz w:val="22"/>
                <w:szCs w:val="22"/>
              </w:rPr>
              <w:t xml:space="preserve">CC Coordinator to ensure that </w:t>
            </w:r>
            <w:r w:rsidR="00304C20" w:rsidRPr="00BD58D4">
              <w:rPr>
                <w:rFonts w:ascii="Helvetica" w:hAnsi="Helvetica"/>
                <w:sz w:val="22"/>
                <w:szCs w:val="22"/>
              </w:rPr>
              <w:t xml:space="preserve">event </w:t>
            </w:r>
            <w:r w:rsidRPr="00BD58D4">
              <w:rPr>
                <w:rFonts w:ascii="Helvetica" w:hAnsi="Helvetica"/>
                <w:sz w:val="22"/>
                <w:szCs w:val="22"/>
              </w:rPr>
              <w:t>budgets align with the service budget</w:t>
            </w:r>
          </w:p>
          <w:p w:rsidR="00894540" w:rsidRPr="00BD58D4" w:rsidRDefault="00894540" w:rsidP="00316FF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 xml:space="preserve">Inform Coordinator of </w:t>
            </w:r>
            <w:proofErr w:type="gramStart"/>
            <w:r w:rsidRPr="00BD58D4">
              <w:rPr>
                <w:rFonts w:ascii="Helvetica" w:hAnsi="Helvetica"/>
                <w:sz w:val="22"/>
                <w:szCs w:val="22"/>
              </w:rPr>
              <w:t>any and all</w:t>
            </w:r>
            <w:proofErr w:type="gramEnd"/>
            <w:r w:rsidRPr="00BD58D4">
              <w:rPr>
                <w:rFonts w:ascii="Helvetica" w:hAnsi="Helvetica"/>
                <w:sz w:val="22"/>
                <w:szCs w:val="22"/>
              </w:rPr>
              <w:t xml:space="preserve"> potential expenses</w:t>
            </w:r>
          </w:p>
          <w:p w:rsidR="00894540" w:rsidRPr="00BD58D4" w:rsidRDefault="00894540" w:rsidP="00161F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Retain financial information to receive reimbursement from the Coordinator</w:t>
            </w:r>
          </w:p>
        </w:tc>
      </w:tr>
      <w:tr w:rsidR="00BD58D4" w:rsidRPr="00BD58D4" w:rsidTr="0011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3BA3" w:rsidRPr="00BD58D4" w:rsidRDefault="000F3BA3" w:rsidP="00017649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Other</w:t>
            </w:r>
          </w:p>
          <w:p w:rsidR="000F3BA3" w:rsidRPr="00BD58D4" w:rsidRDefault="000F3BA3" w:rsidP="00017649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A3" w:rsidRPr="00BD58D4" w:rsidRDefault="000F3BA3" w:rsidP="00017649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5 %</w:t>
            </w:r>
          </w:p>
        </w:tc>
        <w:tc>
          <w:tcPr>
            <w:tcW w:w="6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10FE" w:rsidRPr="007810FE" w:rsidRDefault="007810FE" w:rsidP="007810F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5F4289">
              <w:rPr>
                <w:rFonts w:ascii="Helvetica" w:hAnsi="Helvetica"/>
                <w:sz w:val="22"/>
                <w:szCs w:val="22"/>
              </w:rPr>
              <w:t>Ensure that all training sessions follow anti-oppressive, positive space, anti-racist</w:t>
            </w:r>
            <w:r w:rsidR="00363A79">
              <w:rPr>
                <w:rFonts w:ascii="Helvetica" w:hAnsi="Helvetica"/>
                <w:sz w:val="22"/>
                <w:szCs w:val="22"/>
              </w:rPr>
              <w:t>,</w:t>
            </w:r>
            <w:r w:rsidRPr="005F4289">
              <w:rPr>
                <w:rFonts w:ascii="Helvetica" w:hAnsi="Helvetica"/>
                <w:sz w:val="22"/>
                <w:szCs w:val="22"/>
              </w:rPr>
              <w:t xml:space="preserve"> and intersectional frameworks.</w:t>
            </w:r>
          </w:p>
          <w:p w:rsidR="000F3BA3" w:rsidRPr="00BD58D4" w:rsidRDefault="000F3BA3" w:rsidP="000F3BA3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Attend all volunteer training sessions.</w:t>
            </w:r>
          </w:p>
          <w:p w:rsidR="000F3BA3" w:rsidRPr="00BD58D4" w:rsidRDefault="000F3BA3" w:rsidP="000F3BA3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Be available for peer support shift coverage.</w:t>
            </w:r>
          </w:p>
          <w:p w:rsidR="004868BC" w:rsidRPr="00B8085B" w:rsidRDefault="000F3BA3" w:rsidP="00B8085B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 xml:space="preserve">Other tasks as determined by the </w:t>
            </w:r>
            <w:r w:rsidR="00E52FC2">
              <w:rPr>
                <w:rFonts w:ascii="Helvetica" w:hAnsi="Helvetica"/>
                <w:sz w:val="22"/>
                <w:szCs w:val="22"/>
              </w:rPr>
              <w:t>P</w:t>
            </w:r>
            <w:r w:rsidRPr="00BD58D4">
              <w:rPr>
                <w:rFonts w:ascii="Helvetica" w:hAnsi="Helvetica"/>
                <w:sz w:val="22"/>
                <w:szCs w:val="22"/>
              </w:rPr>
              <w:t>CC Coordinator</w:t>
            </w:r>
            <w:bookmarkStart w:id="0" w:name="_GoBack"/>
            <w:bookmarkEnd w:id="0"/>
          </w:p>
        </w:tc>
      </w:tr>
      <w:tr w:rsidR="00BD58D4" w:rsidRPr="00BD58D4" w:rsidTr="00113EE8">
        <w:trPr>
          <w:gridAfter w:val="2"/>
          <w:wAfter w:w="68" w:type="dxa"/>
        </w:trPr>
        <w:tc>
          <w:tcPr>
            <w:tcW w:w="10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BD58D4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BD58D4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BD58D4" w:rsidRPr="00BD58D4" w:rsidTr="00113EE8">
        <w:trPr>
          <w:gridAfter w:val="2"/>
          <w:wAfter w:w="68" w:type="dxa"/>
        </w:trPr>
        <w:tc>
          <w:tcPr>
            <w:tcW w:w="1042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5B96" w:rsidRPr="00BD58D4" w:rsidRDefault="00125B96" w:rsidP="00125B9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 xml:space="preserve">Awareness and understanding topics associated with the </w:t>
            </w:r>
            <w:r w:rsidR="00E52FC2">
              <w:rPr>
                <w:rFonts w:ascii="Helvetica" w:hAnsi="Helvetica"/>
                <w:sz w:val="22"/>
                <w:szCs w:val="22"/>
              </w:rPr>
              <w:t>P</w:t>
            </w:r>
            <w:r w:rsidRPr="00BD58D4">
              <w:rPr>
                <w:rFonts w:ascii="Helvetica" w:hAnsi="Helvetica"/>
                <w:sz w:val="22"/>
                <w:szCs w:val="22"/>
              </w:rPr>
              <w:t>CC (i.e. cissexism, transphobia, heteronormativity, homophobia, intersectionality, safe space, LGBTQ</w:t>
            </w:r>
            <w:r w:rsidR="00E52FC2">
              <w:rPr>
                <w:rFonts w:ascii="Helvetica" w:hAnsi="Helvetica"/>
                <w:sz w:val="22"/>
                <w:szCs w:val="22"/>
              </w:rPr>
              <w:t>2SI</w:t>
            </w:r>
            <w:r w:rsidRPr="00BD58D4">
              <w:rPr>
                <w:rFonts w:ascii="Helvetica" w:hAnsi="Helvetica"/>
                <w:sz w:val="22"/>
                <w:szCs w:val="22"/>
              </w:rPr>
              <w:t>+ identities)</w:t>
            </w:r>
          </w:p>
          <w:p w:rsidR="00304C20" w:rsidRPr="00BD58D4" w:rsidRDefault="007926B7" w:rsidP="00304C2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Knowledge of LGBTQ</w:t>
            </w:r>
            <w:r w:rsidR="00E52FC2">
              <w:rPr>
                <w:rFonts w:ascii="Helvetica" w:hAnsi="Helvetica"/>
                <w:sz w:val="22"/>
                <w:szCs w:val="22"/>
              </w:rPr>
              <w:t>2SI</w:t>
            </w:r>
            <w:r w:rsidRPr="00BD58D4">
              <w:rPr>
                <w:rFonts w:ascii="Helvetica" w:hAnsi="Helvetica"/>
                <w:sz w:val="22"/>
                <w:szCs w:val="22"/>
              </w:rPr>
              <w:t xml:space="preserve">+ history </w:t>
            </w:r>
            <w:r w:rsidR="00656ED8" w:rsidRPr="00BD58D4">
              <w:rPr>
                <w:rFonts w:ascii="Helvetica" w:hAnsi="Helvetica"/>
                <w:sz w:val="22"/>
                <w:szCs w:val="22"/>
              </w:rPr>
              <w:t xml:space="preserve">and movements, and current </w:t>
            </w:r>
            <w:r w:rsidR="00894540" w:rsidRPr="00BD58D4">
              <w:rPr>
                <w:rFonts w:ascii="Helvetica" w:hAnsi="Helvetica"/>
                <w:sz w:val="22"/>
                <w:szCs w:val="22"/>
              </w:rPr>
              <w:t>social justice topics.</w:t>
            </w:r>
          </w:p>
          <w:p w:rsidR="00BF1870" w:rsidRPr="00BD58D4" w:rsidRDefault="00BF1870" w:rsidP="00D823D1">
            <w:pPr>
              <w:numPr>
                <w:ilvl w:val="0"/>
                <w:numId w:val="2"/>
              </w:numPr>
              <w:tabs>
                <w:tab w:val="left" w:pos="9214"/>
              </w:tabs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Ability to challenge dominant views.</w:t>
            </w:r>
          </w:p>
          <w:p w:rsidR="00EE418C" w:rsidRPr="00BD58D4" w:rsidRDefault="00894540" w:rsidP="0089454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Strong working knowledg</w:t>
            </w:r>
            <w:r w:rsidR="00304C20" w:rsidRPr="00BD58D4">
              <w:rPr>
                <w:rFonts w:ascii="Helvetica" w:hAnsi="Helvetica"/>
                <w:sz w:val="22"/>
                <w:szCs w:val="22"/>
              </w:rPr>
              <w:t xml:space="preserve">e of anti-oppressive practices, intersectionality and inclusion. </w:t>
            </w:r>
          </w:p>
          <w:p w:rsidR="003F3D51" w:rsidRPr="00BD58D4" w:rsidRDefault="00575D49" w:rsidP="00575D4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Leadership, and supervisory skills</w:t>
            </w:r>
            <w:r w:rsidR="00125B96" w:rsidRPr="00BD58D4">
              <w:rPr>
                <w:rFonts w:ascii="Helvetica" w:hAnsi="Helvetica"/>
                <w:sz w:val="22"/>
                <w:szCs w:val="22"/>
              </w:rPr>
              <w:t>.</w:t>
            </w:r>
          </w:p>
          <w:p w:rsidR="00A02D6E" w:rsidRPr="00BD58D4" w:rsidRDefault="00A02D6E" w:rsidP="00A02D6E">
            <w:pPr>
              <w:pStyle w:val="Body"/>
              <w:numPr>
                <w:ilvl w:val="0"/>
                <w:numId w:val="5"/>
              </w:numPr>
              <w:ind w:left="327" w:hanging="327"/>
              <w:rPr>
                <w:rFonts w:ascii="Helvetica" w:eastAsia="Helvetica" w:hAnsi="Helvetica" w:cs="Helvetica"/>
                <w:color w:val="auto"/>
              </w:rPr>
            </w:pPr>
            <w:r w:rsidRPr="00BD58D4">
              <w:rPr>
                <w:rFonts w:ascii="Helvetica"/>
                <w:color w:val="auto"/>
                <w:sz w:val="22"/>
                <w:szCs w:val="22"/>
                <w:lang w:val="en-US"/>
              </w:rPr>
              <w:t>Strong communication and teamwork skills</w:t>
            </w:r>
            <w:r w:rsidRPr="00BD58D4">
              <w:rPr>
                <w:rFonts w:ascii="Helvetica"/>
                <w:color w:val="auto"/>
              </w:rPr>
              <w:t xml:space="preserve"> </w:t>
            </w:r>
          </w:p>
          <w:p w:rsidR="00A02D6E" w:rsidRPr="00BD58D4" w:rsidRDefault="00A02D6E" w:rsidP="00A02D6E">
            <w:pPr>
              <w:pStyle w:val="Body"/>
              <w:numPr>
                <w:ilvl w:val="0"/>
                <w:numId w:val="6"/>
              </w:numPr>
              <w:ind w:left="327" w:hanging="327"/>
              <w:rPr>
                <w:rFonts w:ascii="Helvetica" w:eastAsia="Helvetica" w:hAnsi="Helvetica" w:cs="Helvetica"/>
                <w:color w:val="auto"/>
                <w:lang w:val="en-US"/>
              </w:rPr>
            </w:pPr>
            <w:r w:rsidRPr="00BD58D4">
              <w:rPr>
                <w:rFonts w:ascii="Helvetica"/>
                <w:color w:val="auto"/>
                <w:sz w:val="22"/>
                <w:szCs w:val="22"/>
                <w:lang w:val="en-US"/>
              </w:rPr>
              <w:t>Organizational and time management skills</w:t>
            </w:r>
          </w:p>
          <w:p w:rsidR="00A02D6E" w:rsidRPr="00BD58D4" w:rsidRDefault="00A02D6E" w:rsidP="00A02D6E">
            <w:pPr>
              <w:pStyle w:val="Body"/>
              <w:numPr>
                <w:ilvl w:val="0"/>
                <w:numId w:val="7"/>
              </w:numPr>
              <w:ind w:left="327" w:hanging="327"/>
              <w:rPr>
                <w:rFonts w:ascii="Helvetica" w:eastAsia="Helvetica" w:hAnsi="Helvetica" w:cs="Helvetica"/>
                <w:color w:val="auto"/>
                <w:lang w:val="en-US"/>
              </w:rPr>
            </w:pPr>
            <w:r w:rsidRPr="00BD58D4">
              <w:rPr>
                <w:rFonts w:ascii="Helvetica"/>
                <w:color w:val="auto"/>
                <w:sz w:val="22"/>
                <w:szCs w:val="22"/>
                <w:lang w:val="en-US"/>
              </w:rPr>
              <w:t>Strong Interpersonal skills required for conflict resolution and mediation</w:t>
            </w:r>
          </w:p>
          <w:p w:rsidR="00A02D6E" w:rsidRPr="00BD58D4" w:rsidRDefault="00A02D6E" w:rsidP="00A02D6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/>
                <w:sz w:val="22"/>
                <w:szCs w:val="22"/>
              </w:rPr>
              <w:t>Ability to coordinate and lead a team of volunteers to ensure successful completion of tasks</w:t>
            </w:r>
          </w:p>
        </w:tc>
      </w:tr>
    </w:tbl>
    <w:p w:rsidR="007C1F66" w:rsidRPr="00BD58D4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D58D4" w:rsidRPr="00BD58D4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BD58D4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BD58D4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BD58D4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5B96" w:rsidRPr="00BD58D4" w:rsidRDefault="00125B96" w:rsidP="00125B9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Ab</w:t>
            </w:r>
            <w:r w:rsidR="00A02D6E" w:rsidRPr="00BD58D4">
              <w:rPr>
                <w:rFonts w:ascii="Helvetica" w:hAnsi="Helvetica"/>
                <w:sz w:val="22"/>
                <w:szCs w:val="22"/>
              </w:rPr>
              <w:t>ility</w:t>
            </w:r>
            <w:r w:rsidRPr="00BD58D4">
              <w:rPr>
                <w:rFonts w:ascii="Helvetica" w:hAnsi="Helvetica"/>
                <w:sz w:val="22"/>
                <w:szCs w:val="22"/>
              </w:rPr>
              <w:t xml:space="preserve"> to function well with people in crisis.</w:t>
            </w:r>
          </w:p>
          <w:p w:rsidR="00316FF2" w:rsidRPr="00BD58D4" w:rsidRDefault="00575D49" w:rsidP="00575D4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 xml:space="preserve">Maintain confidentiality of all individuals accessing the </w:t>
            </w:r>
            <w:r w:rsidR="00E52FC2">
              <w:rPr>
                <w:rFonts w:ascii="Helvetica" w:hAnsi="Helvetica"/>
                <w:sz w:val="22"/>
                <w:szCs w:val="22"/>
              </w:rPr>
              <w:t>P</w:t>
            </w:r>
            <w:r w:rsidRPr="00BD58D4">
              <w:rPr>
                <w:rFonts w:ascii="Helvetica" w:hAnsi="Helvetica"/>
                <w:sz w:val="22"/>
                <w:szCs w:val="22"/>
              </w:rPr>
              <w:t>CC</w:t>
            </w:r>
          </w:p>
          <w:p w:rsidR="00E52FC2" w:rsidRPr="00BD58D4" w:rsidRDefault="00A02D6E" w:rsidP="00A02D6E">
            <w:pPr>
              <w:pStyle w:val="Body"/>
              <w:numPr>
                <w:ilvl w:val="0"/>
                <w:numId w:val="8"/>
              </w:numPr>
              <w:tabs>
                <w:tab w:val="clear" w:pos="360"/>
                <w:tab w:val="num" w:pos="327"/>
              </w:tabs>
              <w:ind w:left="327" w:hanging="327"/>
              <w:rPr>
                <w:rFonts w:ascii="Helvetica" w:eastAsia="Helvetica" w:hAnsi="Helvetica" w:cs="Helvetica"/>
                <w:color w:val="auto"/>
              </w:rPr>
            </w:pPr>
            <w:r w:rsidRPr="00BD58D4">
              <w:rPr>
                <w:rFonts w:ascii="Helvetica"/>
                <w:color w:val="auto"/>
                <w:sz w:val="22"/>
                <w:szCs w:val="22"/>
                <w:lang w:val="en-US"/>
              </w:rPr>
              <w:t>Effort required to think creatively</w:t>
            </w:r>
            <w:r w:rsidRPr="00BD58D4">
              <w:rPr>
                <w:rFonts w:ascii="Helvetica"/>
                <w:color w:val="auto"/>
              </w:rPr>
              <w:t xml:space="preserve"> </w:t>
            </w:r>
          </w:p>
          <w:p w:rsidR="00A02D6E" w:rsidRPr="00E52FC2" w:rsidRDefault="00A02D6E" w:rsidP="00113EE8">
            <w:pPr>
              <w:pStyle w:val="Body"/>
              <w:numPr>
                <w:ilvl w:val="0"/>
                <w:numId w:val="8"/>
              </w:numPr>
              <w:tabs>
                <w:tab w:val="clear" w:pos="360"/>
                <w:tab w:val="num" w:pos="327"/>
              </w:tabs>
              <w:ind w:left="327" w:hanging="327"/>
              <w:rPr>
                <w:rFonts w:ascii="Helvetica" w:eastAsia="Helvetica" w:hAnsi="Helvetica" w:cs="Helvetica"/>
                <w:color w:val="auto"/>
                <w:sz w:val="22"/>
                <w:szCs w:val="22"/>
              </w:rPr>
            </w:pPr>
            <w:r w:rsidRPr="00E52FC2">
              <w:rPr>
                <w:rFonts w:ascii="Helvetica"/>
                <w:color w:val="auto"/>
                <w:sz w:val="22"/>
                <w:szCs w:val="22"/>
                <w:lang w:val="en-US"/>
              </w:rPr>
              <w:t>Effort required to plan and execute events</w:t>
            </w:r>
          </w:p>
          <w:p w:rsidR="00A02D6E" w:rsidRPr="00BD58D4" w:rsidRDefault="00A02D6E" w:rsidP="00A02D6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/>
                <w:sz w:val="22"/>
                <w:szCs w:val="22"/>
              </w:rPr>
              <w:t>Expected to interact closely with a group of volunteers</w:t>
            </w:r>
          </w:p>
        </w:tc>
      </w:tr>
    </w:tbl>
    <w:p w:rsidR="007C1F66" w:rsidRPr="00BD58D4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D58D4" w:rsidRPr="00BD58D4" w:rsidTr="00B76703">
        <w:trPr>
          <w:trHeight w:val="302"/>
        </w:trPr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BD58D4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BD58D4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BD58D4" w:rsidTr="00B76703">
        <w:trPr>
          <w:trHeight w:val="232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6FF2" w:rsidRPr="00BD58D4" w:rsidRDefault="006E760B" w:rsidP="00316FF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  <w:r w:rsidR="00B76703" w:rsidRPr="00BD58D4">
              <w:rPr>
                <w:rFonts w:ascii="Helvetica" w:hAnsi="Helvetica"/>
                <w:sz w:val="22"/>
                <w:szCs w:val="22"/>
              </w:rPr>
              <w:t>.</w:t>
            </w:r>
          </w:p>
        </w:tc>
      </w:tr>
    </w:tbl>
    <w:p w:rsidR="007C1F66" w:rsidRPr="00BD58D4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D58D4" w:rsidRPr="00BD58D4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BD58D4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BD58D4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BD58D4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72C0" w:rsidRPr="00BD58D4" w:rsidRDefault="002572C0" w:rsidP="00A02D6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BD58D4">
              <w:rPr>
                <w:rFonts w:ascii="Helvetica" w:hAnsi="Helvetica"/>
                <w:sz w:val="22"/>
                <w:szCs w:val="22"/>
              </w:rPr>
              <w:t>Past experience</w:t>
            </w:r>
            <w:proofErr w:type="gramEnd"/>
            <w:r w:rsidRPr="00BD58D4">
              <w:rPr>
                <w:rFonts w:ascii="Helvetica" w:hAnsi="Helvetica"/>
                <w:sz w:val="22"/>
                <w:szCs w:val="22"/>
              </w:rPr>
              <w:t xml:space="preserve"> with the </w:t>
            </w:r>
            <w:r w:rsidR="00E52FC2">
              <w:rPr>
                <w:rFonts w:ascii="Helvetica" w:hAnsi="Helvetica"/>
                <w:sz w:val="22"/>
                <w:szCs w:val="22"/>
              </w:rPr>
              <w:t>P</w:t>
            </w:r>
            <w:r w:rsidRPr="00BD58D4">
              <w:rPr>
                <w:rFonts w:ascii="Helvetica" w:hAnsi="Helvetica"/>
                <w:sz w:val="22"/>
                <w:szCs w:val="22"/>
              </w:rPr>
              <w:t xml:space="preserve">CC is an asset </w:t>
            </w:r>
          </w:p>
          <w:p w:rsidR="00A02D6E" w:rsidRPr="00BD58D4" w:rsidRDefault="00A02D6E" w:rsidP="00BD58D4">
            <w:pPr>
              <w:pStyle w:val="Body"/>
              <w:numPr>
                <w:ilvl w:val="0"/>
                <w:numId w:val="2"/>
              </w:numPr>
              <w:rPr>
                <w:rFonts w:ascii="Helvetica" w:eastAsia="Helvetica" w:hAnsi="Helvetica" w:cs="Helvetica"/>
                <w:color w:val="auto"/>
              </w:rPr>
            </w:pPr>
            <w:r w:rsidRPr="00BD58D4">
              <w:rPr>
                <w:rFonts w:ascii="Helvetica"/>
                <w:color w:val="auto"/>
                <w:sz w:val="22"/>
                <w:szCs w:val="22"/>
                <w:lang w:val="en-US"/>
              </w:rPr>
              <w:t>Event planning experience is an asset</w:t>
            </w:r>
          </w:p>
          <w:p w:rsidR="002572C0" w:rsidRPr="00BD58D4" w:rsidRDefault="002572C0" w:rsidP="00BD58D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Necessary training will be provided</w:t>
            </w:r>
            <w:r w:rsidR="00A02D6E" w:rsidRPr="00BD58D4">
              <w:rPr>
                <w:rFonts w:ascii="Helvetica" w:hAnsi="Helvetica"/>
                <w:sz w:val="22"/>
                <w:szCs w:val="22"/>
              </w:rPr>
              <w:t>, and required</w:t>
            </w:r>
          </w:p>
        </w:tc>
      </w:tr>
    </w:tbl>
    <w:p w:rsidR="007C1F66" w:rsidRPr="00BD58D4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D58D4" w:rsidRPr="00BD58D4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BD58D4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BD58D4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4C20" w:rsidRPr="00BD58D4" w:rsidRDefault="00A02D6E" w:rsidP="00304C2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D58D4">
              <w:rPr>
                <w:rFonts w:ascii="Helvetica" w:hAnsi="Helvetica"/>
                <w:sz w:val="22"/>
                <w:szCs w:val="22"/>
              </w:rPr>
              <w:t>Use of Personal Computer</w:t>
            </w:r>
          </w:p>
        </w:tc>
      </w:tr>
    </w:tbl>
    <w:p w:rsidR="007C1F66" w:rsidRPr="00BD58D4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BD58D4" w:rsidRDefault="00061282">
      <w:pPr>
        <w:rPr>
          <w:rFonts w:ascii="Helvetica" w:hAnsi="Helvetica"/>
          <w:sz w:val="22"/>
          <w:szCs w:val="22"/>
        </w:rPr>
      </w:pPr>
    </w:p>
    <w:p w:rsidR="007C1F66" w:rsidRPr="00BD58D4" w:rsidRDefault="007C1F66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</w:p>
    <w:sectPr w:rsidR="007C1F66" w:rsidRPr="00BD58D4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2A" w:rsidRDefault="008D102A">
      <w:r>
        <w:separator/>
      </w:r>
    </w:p>
  </w:endnote>
  <w:endnote w:type="continuationSeparator" w:id="0">
    <w:p w:rsidR="008D102A" w:rsidRDefault="008D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408" w:rsidRPr="008416CB" w:rsidRDefault="00A44408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F655EF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F655EF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113EE8">
      <w:rPr>
        <w:rStyle w:val="PageNumber"/>
        <w:rFonts w:ascii="Helvetica" w:hAnsi="Helvetica"/>
        <w:noProof/>
        <w:sz w:val="16"/>
        <w:szCs w:val="16"/>
      </w:rPr>
      <w:t>2</w:t>
    </w:r>
    <w:r w:rsidR="00F655EF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408" w:rsidRPr="00061282" w:rsidRDefault="00F655EF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A44408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B8085B">
      <w:rPr>
        <w:rFonts w:ascii="Helvetica" w:hAnsi="Helvetica"/>
        <w:noProof/>
        <w:sz w:val="16"/>
      </w:rPr>
      <w:t>P:\DEPARTS\ADMIN\Jess, Victoria, and Emma shared documents\Job Descriptions\2019-2020 JOB DESCRIPTIONS\Pride Community Centre\Social and Political Advocacy Coordinator - updated EB 18-24.docx</w:t>
    </w:r>
    <w:r w:rsidRPr="00061282">
      <w:rPr>
        <w:rFonts w:ascii="Helvetica" w:hAnsi="Helvetica"/>
        <w:sz w:val="16"/>
      </w:rPr>
      <w:fldChar w:fldCharType="end"/>
    </w:r>
    <w:r w:rsidR="00A44408">
      <w:rPr>
        <w:sz w:val="16"/>
      </w:rPr>
      <w:tab/>
      <w:t xml:space="preserve">                                                      </w:t>
    </w:r>
    <w:r w:rsidR="004868BC">
      <w:rPr>
        <w:sz w:val="16"/>
      </w:rPr>
      <w:tab/>
      <w:t xml:space="preserve">                                                                      </w:t>
    </w:r>
    <w:r w:rsidR="00B8085B">
      <w:rPr>
        <w:sz w:val="16"/>
      </w:rPr>
      <w:tab/>
    </w:r>
    <w:r w:rsidR="00A44408">
      <w:rPr>
        <w:sz w:val="16"/>
      </w:rPr>
      <w:t xml:space="preserve"> </w:t>
    </w:r>
    <w:r w:rsidR="00A44408" w:rsidRPr="00061282">
      <w:rPr>
        <w:rFonts w:ascii="Helvetica" w:hAnsi="Helvetica"/>
        <w:sz w:val="16"/>
      </w:rPr>
      <w:t>Page</w:t>
    </w:r>
    <w:r w:rsidR="00A44408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A44408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113EE8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A44408" w:rsidRDefault="00A44408">
    <w:pPr>
      <w:pStyle w:val="Footer"/>
    </w:pPr>
  </w:p>
  <w:p w:rsidR="00B8085B" w:rsidRDefault="00B8085B">
    <w:pPr>
      <w:pStyle w:val="Footer"/>
    </w:pPr>
  </w:p>
  <w:p w:rsidR="00B8085B" w:rsidRPr="00B8085B" w:rsidRDefault="00B8085B">
    <w:pPr>
      <w:pStyle w:val="Footer"/>
      <w:rPr>
        <w:rFonts w:ascii="Helvetica" w:hAnsi="Helvetica" w:cs="Helvetica"/>
        <w:sz w:val="16"/>
        <w:szCs w:val="16"/>
      </w:rPr>
    </w:pPr>
    <w:r w:rsidRPr="00B8085B">
      <w:rPr>
        <w:rFonts w:ascii="Helvetica" w:hAnsi="Helvetica" w:cs="Helvetica"/>
        <w:sz w:val="16"/>
        <w:szCs w:val="16"/>
      </w:rPr>
      <w:t>Approved EB 15-30</w:t>
    </w:r>
  </w:p>
  <w:p w:rsidR="00B8085B" w:rsidRPr="00B8085B" w:rsidRDefault="00B8085B">
    <w:pPr>
      <w:pStyle w:val="Footer"/>
      <w:rPr>
        <w:rFonts w:ascii="Helvetica" w:hAnsi="Helvetica" w:cs="Helvetica"/>
        <w:sz w:val="16"/>
        <w:szCs w:val="16"/>
      </w:rPr>
    </w:pPr>
    <w:r w:rsidRPr="00B8085B">
      <w:rPr>
        <w:rFonts w:ascii="Helvetica" w:hAnsi="Helvetica" w:cs="Helvetica"/>
        <w:sz w:val="16"/>
        <w:szCs w:val="16"/>
      </w:rPr>
      <w:t>Revised EB 17-04, EB 17-27, EB 18-24</w:t>
    </w:r>
  </w:p>
  <w:p w:rsidR="00A44408" w:rsidRDefault="00A44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2A" w:rsidRDefault="008D102A">
      <w:r>
        <w:separator/>
      </w:r>
    </w:p>
  </w:footnote>
  <w:footnote w:type="continuationSeparator" w:id="0">
    <w:p w:rsidR="008D102A" w:rsidRDefault="008D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408" w:rsidRPr="008416CB" w:rsidRDefault="00113EE8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Pride Community Centre </w:t>
    </w:r>
    <w:r w:rsidR="00B8085B">
      <w:rPr>
        <w:rStyle w:val="PageNumber"/>
        <w:rFonts w:ascii="Helvetica" w:hAnsi="Helvetica"/>
        <w:i/>
      </w:rPr>
      <w:t>- Social</w:t>
    </w:r>
    <w:r w:rsidR="00B6064A">
      <w:rPr>
        <w:rStyle w:val="PageNumber"/>
        <w:rFonts w:ascii="Helvetica" w:hAnsi="Helvetica"/>
        <w:i/>
      </w:rPr>
      <w:t xml:space="preserve"> and Political Advocacy Coordinator</w:t>
    </w:r>
    <w:r w:rsidR="00A44408" w:rsidRPr="008416CB">
      <w:rPr>
        <w:rStyle w:val="PageNumber"/>
        <w:rFonts w:ascii="Helvetica" w:hAnsi="Helvetica"/>
        <w:i/>
      </w:rPr>
      <w:t xml:space="preserve"> </w:t>
    </w:r>
    <w:r w:rsidR="00A44408" w:rsidRPr="008416CB">
      <w:rPr>
        <w:rStyle w:val="PageNumber"/>
        <w:rFonts w:ascii="Helvetica" w:hAnsi="Helvetica"/>
      </w:rPr>
      <w:t xml:space="preserve">Job Description </w:t>
    </w:r>
  </w:p>
  <w:p w:rsidR="00A44408" w:rsidRDefault="00A44408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B9B5946"/>
    <w:multiLevelType w:val="multilevel"/>
    <w:tmpl w:val="3CF2748A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lang w:val="en-US"/>
      </w:rPr>
    </w:lvl>
  </w:abstractNum>
  <w:abstractNum w:abstractNumId="2" w15:restartNumberingAfterBreak="0">
    <w:nsid w:val="0ECC57B3"/>
    <w:multiLevelType w:val="multilevel"/>
    <w:tmpl w:val="81F06F28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" w15:restartNumberingAfterBreak="0">
    <w:nsid w:val="22401F39"/>
    <w:multiLevelType w:val="multilevel"/>
    <w:tmpl w:val="00201274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lang w:val="en-US"/>
      </w:rPr>
    </w:lvl>
  </w:abstractNum>
  <w:abstractNum w:abstractNumId="4" w15:restartNumberingAfterBreak="0">
    <w:nsid w:val="436775EB"/>
    <w:multiLevelType w:val="multilevel"/>
    <w:tmpl w:val="230CD4F2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lang w:val="en-US"/>
      </w:rPr>
    </w:lvl>
  </w:abstractNum>
  <w:abstractNum w:abstractNumId="5" w15:restartNumberingAfterBreak="0">
    <w:nsid w:val="544A5735"/>
    <w:multiLevelType w:val="multilevel"/>
    <w:tmpl w:val="9D38086E"/>
    <w:lvl w:ilvl="0">
      <w:numFmt w:val="bullet"/>
      <w:lvlText w:val="▪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olor w:val="FF2C21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Helvetica" w:eastAsia="Helvetica" w:hAnsi="Helvetica" w:cs="Helvetica"/>
        <w:color w:val="FF2C21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Helvetica" w:eastAsia="Helvetica" w:hAnsi="Helvetica" w:cs="Helvetica"/>
        <w:color w:val="FF2C21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Helvetica" w:eastAsia="Helvetica" w:hAnsi="Helvetica" w:cs="Helvetica"/>
        <w:color w:val="FF2C21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Helvetica" w:eastAsia="Helvetica" w:hAnsi="Helvetica" w:cs="Helvetica"/>
        <w:color w:val="FF2C21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Helvetica" w:eastAsia="Helvetica" w:hAnsi="Helvetica" w:cs="Helvetica"/>
        <w:color w:val="FF2C21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Helvetica" w:eastAsia="Helvetica" w:hAnsi="Helvetica" w:cs="Helvetica"/>
        <w:color w:val="FF2C21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Helvetica" w:eastAsia="Helvetica" w:hAnsi="Helvetica" w:cs="Helvetica"/>
        <w:color w:val="FF2C21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Helvetica" w:eastAsia="Helvetica" w:hAnsi="Helvetica" w:cs="Helvetica"/>
        <w:color w:val="FF2C21"/>
        <w:position w:val="0"/>
        <w:sz w:val="22"/>
        <w:szCs w:val="22"/>
      </w:rPr>
    </w:lvl>
  </w:abstractNum>
  <w:abstractNum w:abstractNumId="6" w15:restartNumberingAfterBreak="0">
    <w:nsid w:val="5E854FB0"/>
    <w:multiLevelType w:val="multilevel"/>
    <w:tmpl w:val="D100771C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6B1C692D"/>
    <w:multiLevelType w:val="multilevel"/>
    <w:tmpl w:val="4BD0E61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lang w:val="en-US"/>
      </w:rPr>
    </w:lvl>
  </w:abstractNum>
  <w:abstractNum w:abstractNumId="8" w15:restartNumberingAfterBreak="0">
    <w:nsid w:val="739B409A"/>
    <w:multiLevelType w:val="multilevel"/>
    <w:tmpl w:val="1DB063C0"/>
    <w:styleLink w:val="List31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lang w:val="en-US"/>
      </w:rPr>
    </w:lvl>
  </w:abstractNum>
  <w:abstractNum w:abstractNumId="9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282"/>
    <w:rsid w:val="0003635E"/>
    <w:rsid w:val="00045BF3"/>
    <w:rsid w:val="00061282"/>
    <w:rsid w:val="000878DB"/>
    <w:rsid w:val="000D52F1"/>
    <w:rsid w:val="000F3BA3"/>
    <w:rsid w:val="00106CFE"/>
    <w:rsid w:val="00113EE8"/>
    <w:rsid w:val="001221E8"/>
    <w:rsid w:val="00125B96"/>
    <w:rsid w:val="00130A96"/>
    <w:rsid w:val="0015491B"/>
    <w:rsid w:val="00161F82"/>
    <w:rsid w:val="001B0658"/>
    <w:rsid w:val="001F4483"/>
    <w:rsid w:val="00202C28"/>
    <w:rsid w:val="00212101"/>
    <w:rsid w:val="002572C0"/>
    <w:rsid w:val="00280828"/>
    <w:rsid w:val="002A5B05"/>
    <w:rsid w:val="002A6AAD"/>
    <w:rsid w:val="002C2708"/>
    <w:rsid w:val="00304C20"/>
    <w:rsid w:val="00316FF2"/>
    <w:rsid w:val="00363A79"/>
    <w:rsid w:val="00386358"/>
    <w:rsid w:val="003A53FA"/>
    <w:rsid w:val="003A7C77"/>
    <w:rsid w:val="003F3D51"/>
    <w:rsid w:val="00413A48"/>
    <w:rsid w:val="00444E2A"/>
    <w:rsid w:val="004868BC"/>
    <w:rsid w:val="004A2749"/>
    <w:rsid w:val="004A7811"/>
    <w:rsid w:val="005105B1"/>
    <w:rsid w:val="00575D49"/>
    <w:rsid w:val="00585C77"/>
    <w:rsid w:val="005938FB"/>
    <w:rsid w:val="0059474B"/>
    <w:rsid w:val="00597188"/>
    <w:rsid w:val="00644514"/>
    <w:rsid w:val="00656ED8"/>
    <w:rsid w:val="006A4049"/>
    <w:rsid w:val="006B4B14"/>
    <w:rsid w:val="006D1F9D"/>
    <w:rsid w:val="006D49BE"/>
    <w:rsid w:val="006E760B"/>
    <w:rsid w:val="0071405F"/>
    <w:rsid w:val="00715DB5"/>
    <w:rsid w:val="007648E7"/>
    <w:rsid w:val="007810FE"/>
    <w:rsid w:val="00787562"/>
    <w:rsid w:val="007926B7"/>
    <w:rsid w:val="007A7441"/>
    <w:rsid w:val="007C1A1C"/>
    <w:rsid w:val="007C1F66"/>
    <w:rsid w:val="007D7B0A"/>
    <w:rsid w:val="008416CB"/>
    <w:rsid w:val="00894540"/>
    <w:rsid w:val="008A31A8"/>
    <w:rsid w:val="008D102A"/>
    <w:rsid w:val="00952798"/>
    <w:rsid w:val="00963443"/>
    <w:rsid w:val="00996512"/>
    <w:rsid w:val="009C376F"/>
    <w:rsid w:val="009D313B"/>
    <w:rsid w:val="009F6ABD"/>
    <w:rsid w:val="00A02D6E"/>
    <w:rsid w:val="00A20B46"/>
    <w:rsid w:val="00A33F4F"/>
    <w:rsid w:val="00A44408"/>
    <w:rsid w:val="00A95AC1"/>
    <w:rsid w:val="00A973E4"/>
    <w:rsid w:val="00B039AF"/>
    <w:rsid w:val="00B12730"/>
    <w:rsid w:val="00B215CC"/>
    <w:rsid w:val="00B2392C"/>
    <w:rsid w:val="00B328EF"/>
    <w:rsid w:val="00B428F1"/>
    <w:rsid w:val="00B6064A"/>
    <w:rsid w:val="00B75A2D"/>
    <w:rsid w:val="00B76703"/>
    <w:rsid w:val="00B8085B"/>
    <w:rsid w:val="00BA762D"/>
    <w:rsid w:val="00BB2095"/>
    <w:rsid w:val="00BD58D4"/>
    <w:rsid w:val="00BF1870"/>
    <w:rsid w:val="00C86920"/>
    <w:rsid w:val="00CD0063"/>
    <w:rsid w:val="00CD4B86"/>
    <w:rsid w:val="00D823D1"/>
    <w:rsid w:val="00DB66AB"/>
    <w:rsid w:val="00DC6A97"/>
    <w:rsid w:val="00E27788"/>
    <w:rsid w:val="00E52FC2"/>
    <w:rsid w:val="00EA61DB"/>
    <w:rsid w:val="00EB1E33"/>
    <w:rsid w:val="00EE418C"/>
    <w:rsid w:val="00EE58B1"/>
    <w:rsid w:val="00EF5117"/>
    <w:rsid w:val="00F3382A"/>
    <w:rsid w:val="00F655EF"/>
    <w:rsid w:val="00F8203E"/>
    <w:rsid w:val="00F94739"/>
    <w:rsid w:val="00FD420A"/>
    <w:rsid w:val="00FE583E"/>
    <w:rsid w:val="00FE5C0B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B32F53"/>
  <w15:docId w15:val="{6E859E54-CB3C-4192-B74E-6361357D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1B0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58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3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B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BA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BA3"/>
    <w:rPr>
      <w:b/>
      <w:bCs/>
      <w:lang w:val="en-US"/>
    </w:rPr>
  </w:style>
  <w:style w:type="paragraph" w:customStyle="1" w:styleId="Body">
    <w:name w:val="Body"/>
    <w:rsid w:val="00A02D6E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numbering" w:customStyle="1" w:styleId="List31">
    <w:name w:val="List 31"/>
    <w:basedOn w:val="NoList"/>
    <w:rsid w:val="00A02D6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96B7-E1CA-4D2F-90CA-A1251C9E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Victoria Scott, Administrative Services Coordinator</cp:lastModifiedBy>
  <cp:revision>3</cp:revision>
  <cp:lastPrinted>2015-01-06T20:05:00Z</cp:lastPrinted>
  <dcterms:created xsi:type="dcterms:W3CDTF">2019-02-08T16:14:00Z</dcterms:created>
  <dcterms:modified xsi:type="dcterms:W3CDTF">2019-02-08T16:15:00Z</dcterms:modified>
</cp:coreProperties>
</file>