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0CAE1" w14:textId="77777777" w:rsidR="00F67B47" w:rsidRDefault="00B42379" w:rsidP="00F67B47">
      <w:pPr>
        <w:rPr>
          <w:b/>
          <w:smallCaps/>
          <w:color w:val="FF0000"/>
          <w:spacing w:val="80"/>
        </w:rPr>
      </w:pPr>
      <w:r>
        <w:rPr>
          <w:b/>
          <w:smallCaps/>
          <w:noProof/>
          <w:color w:val="FF0000"/>
          <w:spacing w:val="80"/>
          <w:sz w:val="20"/>
          <w:lang w:val="en-CA" w:eastAsia="en-CA"/>
        </w:rPr>
        <w:drawing>
          <wp:anchor distT="0" distB="0" distL="114300" distR="114300" simplePos="0" relativeHeight="251657728" behindDoc="0" locked="0" layoutInCell="1" allowOverlap="1" wp14:anchorId="20170219" wp14:editId="2DB82E0F">
            <wp:simplePos x="0" y="0"/>
            <wp:positionH relativeFrom="column">
              <wp:posOffset>1905</wp:posOffset>
            </wp:positionH>
            <wp:positionV relativeFrom="paragraph">
              <wp:posOffset>80010</wp:posOffset>
            </wp:positionV>
            <wp:extent cx="1514475" cy="942975"/>
            <wp:effectExtent l="19050" t="0" r="9525" b="0"/>
            <wp:wrapSquare wrapText="bothSides"/>
            <wp:docPr id="2" name="Picture 2" descr="Welcome to MSU Intrane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6"/>
                    </pic:cNvPr>
                    <pic:cNvPicPr>
                      <a:picLocks noChangeAspect="1" noChangeArrowheads="1"/>
                    </pic:cNvPicPr>
                  </pic:nvPicPr>
                  <pic:blipFill>
                    <a:blip r:embed="rId7" cstate="print"/>
                    <a:srcRect/>
                    <a:stretch>
                      <a:fillRect/>
                    </a:stretch>
                  </pic:blipFill>
                  <pic:spPr bwMode="auto">
                    <a:xfrm>
                      <a:off x="0" y="0"/>
                      <a:ext cx="1514475" cy="942975"/>
                    </a:xfrm>
                    <a:prstGeom prst="rect">
                      <a:avLst/>
                    </a:prstGeom>
                    <a:noFill/>
                    <a:ln w="9525">
                      <a:noFill/>
                      <a:miter lim="800000"/>
                      <a:headEnd/>
                      <a:tailEnd/>
                    </a:ln>
                  </pic:spPr>
                </pic:pic>
              </a:graphicData>
            </a:graphic>
          </wp:anchor>
        </w:drawing>
      </w:r>
    </w:p>
    <w:p w14:paraId="01B40C62" w14:textId="77777777" w:rsidR="00F67B47" w:rsidRPr="007B5446" w:rsidRDefault="00964982" w:rsidP="00F67B47">
      <w:pPr>
        <w:pStyle w:val="Heading1"/>
        <w:rPr>
          <w:color w:val="660033"/>
        </w:rPr>
      </w:pPr>
      <w:r>
        <w:t xml:space="preserve">    </w:t>
      </w:r>
      <w:r w:rsidRPr="007B5446">
        <w:rPr>
          <w:color w:val="660033"/>
        </w:rPr>
        <w:t>MEMO</w:t>
      </w:r>
    </w:p>
    <w:p w14:paraId="734BBBA1" w14:textId="77777777" w:rsidR="00D635AE" w:rsidRDefault="00D635AE" w:rsidP="00D635AE">
      <w:pPr>
        <w:rPr>
          <w:lang w:val="en-CA"/>
        </w:rPr>
      </w:pPr>
    </w:p>
    <w:p w14:paraId="3B69F9E4" w14:textId="77777777" w:rsidR="00D635AE" w:rsidRDefault="00D635AE" w:rsidP="00D635AE">
      <w:pPr>
        <w:rPr>
          <w:lang w:val="en-CA"/>
        </w:rPr>
      </w:pPr>
    </w:p>
    <w:p w14:paraId="6BA467AF" w14:textId="77777777" w:rsidR="00912473" w:rsidRDefault="00912473" w:rsidP="00D635AE">
      <w:pPr>
        <w:rPr>
          <w:lang w:val="en-CA"/>
        </w:rPr>
      </w:pPr>
    </w:p>
    <w:p w14:paraId="1D2A85D5" w14:textId="77777777" w:rsidR="00F67B47" w:rsidRPr="00E62C9A" w:rsidRDefault="00F67B47" w:rsidP="00F67B47">
      <w:pPr>
        <w:pBdr>
          <w:top w:val="double" w:sz="12" w:space="1" w:color="auto"/>
        </w:pBdr>
        <w:rPr>
          <w:rFonts w:ascii="Tahoma" w:hAnsi="Tahoma" w:cs="Tahoma"/>
        </w:rPr>
      </w:pPr>
    </w:p>
    <w:tbl>
      <w:tblPr>
        <w:tblW w:w="10227" w:type="dxa"/>
        <w:tblLayout w:type="fixed"/>
        <w:tblLook w:val="0000" w:firstRow="0" w:lastRow="0" w:firstColumn="0" w:lastColumn="0" w:noHBand="0" w:noVBand="0"/>
      </w:tblPr>
      <w:tblGrid>
        <w:gridCol w:w="1829"/>
        <w:gridCol w:w="8398"/>
      </w:tblGrid>
      <w:tr w:rsidR="00F67B47" w:rsidRPr="00631A9B" w14:paraId="67325B86" w14:textId="77777777" w:rsidTr="00152EF9">
        <w:trPr>
          <w:trHeight w:val="387"/>
        </w:trPr>
        <w:tc>
          <w:tcPr>
            <w:tcW w:w="1829" w:type="dxa"/>
          </w:tcPr>
          <w:p w14:paraId="035D0D88" w14:textId="77777777" w:rsidR="00F67B47" w:rsidRPr="00631A9B" w:rsidRDefault="00F67B47" w:rsidP="001165E5">
            <w:pPr>
              <w:spacing w:line="360" w:lineRule="auto"/>
              <w:rPr>
                <w:b/>
              </w:rPr>
            </w:pPr>
            <w:r w:rsidRPr="00631A9B">
              <w:rPr>
                <w:b/>
                <w:sz w:val="22"/>
              </w:rPr>
              <w:t>Date:</w:t>
            </w:r>
            <w:r w:rsidRPr="00631A9B">
              <w:rPr>
                <w:b/>
                <w:sz w:val="22"/>
              </w:rPr>
              <w:tab/>
            </w:r>
          </w:p>
        </w:tc>
        <w:tc>
          <w:tcPr>
            <w:tcW w:w="8398" w:type="dxa"/>
          </w:tcPr>
          <w:p w14:paraId="23DCC305" w14:textId="237DADBE" w:rsidR="00F67B47" w:rsidRPr="001E7F51" w:rsidRDefault="00284A38" w:rsidP="00F94883">
            <w:pPr>
              <w:spacing w:line="360" w:lineRule="auto"/>
              <w:rPr>
                <w:sz w:val="22"/>
                <w:szCs w:val="22"/>
              </w:rPr>
            </w:pPr>
            <w:r>
              <w:rPr>
                <w:sz w:val="22"/>
                <w:szCs w:val="22"/>
              </w:rPr>
              <w:t>September</w:t>
            </w:r>
            <w:r w:rsidR="006E2200">
              <w:rPr>
                <w:sz w:val="22"/>
                <w:szCs w:val="22"/>
              </w:rPr>
              <w:t xml:space="preserve"> 2</w:t>
            </w:r>
            <w:r>
              <w:rPr>
                <w:sz w:val="22"/>
                <w:szCs w:val="22"/>
              </w:rPr>
              <w:t>5</w:t>
            </w:r>
            <w:r w:rsidR="00D255B4">
              <w:rPr>
                <w:sz w:val="22"/>
                <w:szCs w:val="22"/>
              </w:rPr>
              <w:t>, 201</w:t>
            </w:r>
            <w:r w:rsidR="007F4E55">
              <w:rPr>
                <w:sz w:val="22"/>
                <w:szCs w:val="22"/>
              </w:rPr>
              <w:t>8</w:t>
            </w:r>
          </w:p>
        </w:tc>
      </w:tr>
      <w:tr w:rsidR="00F67B47" w:rsidRPr="00631A9B" w14:paraId="07A8A1F3" w14:textId="77777777" w:rsidTr="00152EF9">
        <w:trPr>
          <w:trHeight w:val="775"/>
        </w:trPr>
        <w:tc>
          <w:tcPr>
            <w:tcW w:w="1829" w:type="dxa"/>
          </w:tcPr>
          <w:p w14:paraId="11EE132D" w14:textId="77777777" w:rsidR="00F67B47" w:rsidRPr="00631A9B" w:rsidRDefault="00F67B47" w:rsidP="00631A9B">
            <w:pPr>
              <w:spacing w:line="360" w:lineRule="auto"/>
              <w:rPr>
                <w:b/>
              </w:rPr>
            </w:pPr>
            <w:r w:rsidRPr="00631A9B">
              <w:rPr>
                <w:b/>
                <w:sz w:val="22"/>
              </w:rPr>
              <w:t>To:</w:t>
            </w:r>
          </w:p>
        </w:tc>
        <w:tc>
          <w:tcPr>
            <w:tcW w:w="8398" w:type="dxa"/>
          </w:tcPr>
          <w:p w14:paraId="7562639C" w14:textId="77777777" w:rsidR="00F67B47" w:rsidRPr="001E7F51" w:rsidRDefault="00631A9B" w:rsidP="00631A9B">
            <w:pPr>
              <w:spacing w:line="360" w:lineRule="auto"/>
              <w:rPr>
                <w:sz w:val="22"/>
                <w:szCs w:val="22"/>
              </w:rPr>
            </w:pPr>
            <w:r w:rsidRPr="001E7F51">
              <w:rPr>
                <w:sz w:val="22"/>
                <w:szCs w:val="22"/>
              </w:rPr>
              <w:t>John McGowan, General Manager</w:t>
            </w:r>
          </w:p>
          <w:p w14:paraId="5A9455B3" w14:textId="407DA5C5" w:rsidR="00631A9B" w:rsidRPr="001E7F51" w:rsidRDefault="007C5C47" w:rsidP="00C47149">
            <w:pPr>
              <w:spacing w:line="360" w:lineRule="auto"/>
              <w:rPr>
                <w:sz w:val="22"/>
                <w:szCs w:val="22"/>
              </w:rPr>
            </w:pPr>
            <w:r>
              <w:rPr>
                <w:sz w:val="22"/>
                <w:szCs w:val="22"/>
              </w:rPr>
              <w:t>Scott Robinson</w:t>
            </w:r>
            <w:r w:rsidR="00631A9B" w:rsidRPr="001E7F51">
              <w:rPr>
                <w:sz w:val="22"/>
                <w:szCs w:val="22"/>
              </w:rPr>
              <w:t>, V. P. Finance</w:t>
            </w:r>
          </w:p>
        </w:tc>
      </w:tr>
      <w:tr w:rsidR="00F67B47" w:rsidRPr="00631A9B" w14:paraId="752B6759" w14:textId="77777777" w:rsidTr="00152EF9">
        <w:trPr>
          <w:trHeight w:val="387"/>
        </w:trPr>
        <w:tc>
          <w:tcPr>
            <w:tcW w:w="1829" w:type="dxa"/>
          </w:tcPr>
          <w:p w14:paraId="6B59ACA9" w14:textId="77777777" w:rsidR="00F67B47" w:rsidRPr="00631A9B" w:rsidRDefault="00F67B47" w:rsidP="001165E5">
            <w:pPr>
              <w:spacing w:line="360" w:lineRule="auto"/>
              <w:rPr>
                <w:b/>
              </w:rPr>
            </w:pPr>
            <w:r w:rsidRPr="00631A9B">
              <w:rPr>
                <w:b/>
                <w:sz w:val="22"/>
              </w:rPr>
              <w:t>From:</w:t>
            </w:r>
          </w:p>
        </w:tc>
        <w:tc>
          <w:tcPr>
            <w:tcW w:w="8398" w:type="dxa"/>
          </w:tcPr>
          <w:p w14:paraId="6A41B0E0" w14:textId="77777777" w:rsidR="00F67B47" w:rsidRPr="001E7F51" w:rsidRDefault="00631A9B" w:rsidP="00631A9B">
            <w:pPr>
              <w:spacing w:line="360" w:lineRule="auto"/>
              <w:rPr>
                <w:sz w:val="22"/>
                <w:szCs w:val="22"/>
              </w:rPr>
            </w:pPr>
            <w:r w:rsidRPr="001E7F51">
              <w:rPr>
                <w:sz w:val="22"/>
                <w:szCs w:val="22"/>
              </w:rPr>
              <w:t>Maggie Gallagher</w:t>
            </w:r>
            <w:r w:rsidR="00F67B47" w:rsidRPr="001E7F51">
              <w:rPr>
                <w:sz w:val="22"/>
                <w:szCs w:val="22"/>
              </w:rPr>
              <w:t xml:space="preserve">, </w:t>
            </w:r>
            <w:r w:rsidRPr="001E7F51">
              <w:rPr>
                <w:sz w:val="22"/>
                <w:szCs w:val="22"/>
              </w:rPr>
              <w:t>Comptroller</w:t>
            </w:r>
          </w:p>
        </w:tc>
      </w:tr>
      <w:tr w:rsidR="00F67B47" w:rsidRPr="00631A9B" w14:paraId="57E8BC85" w14:textId="77777777" w:rsidTr="00152EF9">
        <w:trPr>
          <w:trHeight w:val="790"/>
        </w:trPr>
        <w:tc>
          <w:tcPr>
            <w:tcW w:w="1829" w:type="dxa"/>
          </w:tcPr>
          <w:p w14:paraId="1D28C9B4" w14:textId="77777777" w:rsidR="00F67B47" w:rsidRPr="00631A9B" w:rsidRDefault="00F67B47" w:rsidP="00054255">
            <w:pPr>
              <w:spacing w:line="360" w:lineRule="auto"/>
              <w:rPr>
                <w:b/>
              </w:rPr>
            </w:pPr>
            <w:r w:rsidRPr="00631A9B">
              <w:rPr>
                <w:b/>
                <w:sz w:val="22"/>
              </w:rPr>
              <w:t>Subject:</w:t>
            </w:r>
          </w:p>
        </w:tc>
        <w:tc>
          <w:tcPr>
            <w:tcW w:w="8398" w:type="dxa"/>
          </w:tcPr>
          <w:p w14:paraId="40CEC858" w14:textId="027AF350" w:rsidR="00740B99" w:rsidRPr="001E4EC5" w:rsidRDefault="00284A38" w:rsidP="00910861">
            <w:pPr>
              <w:spacing w:line="360" w:lineRule="auto"/>
              <w:rPr>
                <w:b/>
                <w:sz w:val="22"/>
                <w:szCs w:val="22"/>
              </w:rPr>
            </w:pPr>
            <w:r>
              <w:rPr>
                <w:b/>
                <w:sz w:val="22"/>
                <w:szCs w:val="22"/>
              </w:rPr>
              <w:t xml:space="preserve">AUGUST </w:t>
            </w:r>
            <w:r w:rsidR="00001223" w:rsidRPr="00697099">
              <w:rPr>
                <w:b/>
                <w:sz w:val="22"/>
                <w:szCs w:val="22"/>
              </w:rPr>
              <w:t>201</w:t>
            </w:r>
            <w:r w:rsidR="001C3F27">
              <w:rPr>
                <w:b/>
                <w:sz w:val="22"/>
                <w:szCs w:val="22"/>
              </w:rPr>
              <w:t>8</w:t>
            </w:r>
            <w:r w:rsidR="00001223">
              <w:rPr>
                <w:sz w:val="22"/>
                <w:szCs w:val="22"/>
              </w:rPr>
              <w:t xml:space="preserve"> </w:t>
            </w:r>
            <w:r w:rsidR="00631A9B" w:rsidRPr="001E7F51">
              <w:rPr>
                <w:sz w:val="22"/>
                <w:szCs w:val="22"/>
              </w:rPr>
              <w:t>Finance Report for the</w:t>
            </w:r>
            <w:r w:rsidR="006A599D">
              <w:rPr>
                <w:sz w:val="22"/>
                <w:szCs w:val="22"/>
              </w:rPr>
              <w:t xml:space="preserve"> </w:t>
            </w:r>
            <w:r w:rsidR="00001223">
              <w:rPr>
                <w:sz w:val="22"/>
                <w:szCs w:val="22"/>
              </w:rPr>
              <w:t>SRA</w:t>
            </w:r>
          </w:p>
        </w:tc>
      </w:tr>
    </w:tbl>
    <w:p w14:paraId="16953161" w14:textId="77777777" w:rsidR="00F67B47" w:rsidRPr="00E62C9A" w:rsidRDefault="00F67B47" w:rsidP="00054255">
      <w:pPr>
        <w:pBdr>
          <w:top w:val="double" w:sz="4" w:space="1" w:color="auto"/>
        </w:pBdr>
        <w:rPr>
          <w:rFonts w:ascii="Tahoma" w:hAnsi="Tahoma" w:cs="Tahoma"/>
          <w:sz w:val="22"/>
          <w:szCs w:val="22"/>
        </w:rPr>
      </w:pPr>
    </w:p>
    <w:p w14:paraId="749421C3" w14:textId="77777777" w:rsidR="00500AA2" w:rsidRDefault="00500AA2" w:rsidP="00500EE3">
      <w:pPr>
        <w:rPr>
          <w:sz w:val="22"/>
          <w:szCs w:val="22"/>
        </w:rPr>
      </w:pPr>
    </w:p>
    <w:p w14:paraId="2B1E53EF" w14:textId="77777777" w:rsidR="00284A38" w:rsidRDefault="00284A38" w:rsidP="00284A38">
      <w:pPr>
        <w:rPr>
          <w:sz w:val="22"/>
          <w:szCs w:val="22"/>
        </w:rPr>
      </w:pPr>
      <w:bookmarkStart w:id="0" w:name="_Hlk507579518"/>
      <w:bookmarkStart w:id="1" w:name="_Hlk488405330"/>
      <w:r>
        <w:rPr>
          <w:sz w:val="22"/>
          <w:szCs w:val="22"/>
        </w:rPr>
        <w:t xml:space="preserve">The MSU is doing well financially having a liquidity ratio of $2.49 of current assets to meet every $1.00 of current liabilities.  This is in part due to the healthy balance of investments that are held.  The MSU is showing a net loss for the month of $944,927 which is $1,111,288 or 668% higher than last August’s net profit of $166,360.  The main difference is the timing of this year’s payment to ACL for health &amp; dental.   Net loss for the year has increased by $167,661 or 10% over last year.    </w:t>
      </w:r>
    </w:p>
    <w:bookmarkEnd w:id="0"/>
    <w:bookmarkEnd w:id="1"/>
    <w:p w14:paraId="7D30D534" w14:textId="28DF409B" w:rsidR="00C546AD" w:rsidRDefault="00C546AD" w:rsidP="00F34330">
      <w:pPr>
        <w:rPr>
          <w:sz w:val="22"/>
          <w:szCs w:val="22"/>
        </w:rPr>
      </w:pPr>
    </w:p>
    <w:p w14:paraId="17BE4CBC" w14:textId="77777777" w:rsidR="00273518" w:rsidRDefault="00273518" w:rsidP="00F34330">
      <w:pPr>
        <w:rPr>
          <w:sz w:val="22"/>
          <w:szCs w:val="22"/>
        </w:rPr>
      </w:pPr>
    </w:p>
    <w:p w14:paraId="5570354F" w14:textId="24601C62" w:rsidR="00337236" w:rsidRPr="00101DAC" w:rsidRDefault="00337236" w:rsidP="00337236">
      <w:pPr>
        <w:rPr>
          <w:b/>
          <w:color w:val="660033"/>
          <w:sz w:val="22"/>
          <w:szCs w:val="22"/>
          <w:u w:val="single"/>
        </w:rPr>
      </w:pPr>
      <w:r w:rsidRPr="00101DAC">
        <w:rPr>
          <w:b/>
          <w:color w:val="660033"/>
          <w:sz w:val="22"/>
          <w:szCs w:val="22"/>
          <w:u w:val="single"/>
        </w:rPr>
        <w:t>Administration</w:t>
      </w:r>
      <w:r w:rsidR="008B6B1A">
        <w:rPr>
          <w:b/>
          <w:color w:val="660033"/>
          <w:sz w:val="22"/>
          <w:szCs w:val="22"/>
          <w:u w:val="single"/>
        </w:rPr>
        <w:t xml:space="preserve"> &amp; ICT</w:t>
      </w:r>
    </w:p>
    <w:p w14:paraId="5FFDFA3D" w14:textId="2D75E2E2" w:rsidR="00284A38" w:rsidRPr="00651D8A" w:rsidRDefault="00284A38" w:rsidP="00284A38">
      <w:pPr>
        <w:rPr>
          <w:sz w:val="22"/>
          <w:szCs w:val="22"/>
        </w:rPr>
      </w:pPr>
      <w:bookmarkStart w:id="2" w:name="_Hlk507579547"/>
      <w:r>
        <w:rPr>
          <w:sz w:val="22"/>
          <w:szCs w:val="22"/>
        </w:rPr>
        <w:t>Admin is showing a profit for the month of August due to the advance of $500,000 that was received.  Admin also received $9,500 from the McMaster Partnership Agreement.    Admin’s Mgmt. Training budget is overspent maxing out the budget at 122.58% or $678 over the $3,000 allotted.  This overrun is due to the gender training session held for FT staff.  I</w:t>
      </w:r>
      <w:r>
        <w:rPr>
          <w:sz w:val="22"/>
          <w:szCs w:val="22"/>
          <w:lang w:val="en-CA"/>
        </w:rPr>
        <w:t xml:space="preserve">CT`s expenses for the year are $64,438 which is right on budget at 34.5%.  </w:t>
      </w:r>
    </w:p>
    <w:bookmarkEnd w:id="2"/>
    <w:p w14:paraId="0992DB6C" w14:textId="20916E58" w:rsidR="00511CA8" w:rsidRDefault="00511CA8" w:rsidP="00F34330">
      <w:pPr>
        <w:rPr>
          <w:sz w:val="22"/>
          <w:szCs w:val="22"/>
        </w:rPr>
      </w:pPr>
    </w:p>
    <w:p w14:paraId="0642E271" w14:textId="77777777" w:rsidR="00273518" w:rsidRDefault="00273518" w:rsidP="00F34330">
      <w:pPr>
        <w:rPr>
          <w:sz w:val="22"/>
          <w:szCs w:val="22"/>
        </w:rPr>
      </w:pPr>
    </w:p>
    <w:p w14:paraId="0DD034CB" w14:textId="77777777" w:rsidR="0048750F" w:rsidRPr="0075186B" w:rsidRDefault="00C10DA4" w:rsidP="00631A9B">
      <w:pPr>
        <w:rPr>
          <w:b/>
          <w:color w:val="660033"/>
          <w:sz w:val="22"/>
          <w:szCs w:val="22"/>
          <w:u w:val="single"/>
        </w:rPr>
      </w:pPr>
      <w:r w:rsidRPr="0075186B">
        <w:rPr>
          <w:b/>
          <w:color w:val="660033"/>
          <w:sz w:val="22"/>
          <w:szCs w:val="22"/>
          <w:u w:val="single"/>
        </w:rPr>
        <w:t>Business Units</w:t>
      </w:r>
    </w:p>
    <w:p w14:paraId="07861116" w14:textId="48C80312" w:rsidR="0048750F" w:rsidRDefault="00A727AE" w:rsidP="00631A9B">
      <w:pPr>
        <w:rPr>
          <w:sz w:val="22"/>
          <w:szCs w:val="22"/>
        </w:rPr>
      </w:pPr>
      <w:r>
        <w:rPr>
          <w:sz w:val="22"/>
          <w:szCs w:val="22"/>
        </w:rPr>
        <w:t xml:space="preserve">The business units are showing a </w:t>
      </w:r>
      <w:r w:rsidR="00182A86">
        <w:rPr>
          <w:sz w:val="22"/>
          <w:szCs w:val="22"/>
        </w:rPr>
        <w:t>decrease in net losses</w:t>
      </w:r>
      <w:r>
        <w:rPr>
          <w:sz w:val="22"/>
          <w:szCs w:val="22"/>
        </w:rPr>
        <w:t xml:space="preserve"> for </w:t>
      </w:r>
      <w:r w:rsidR="004076ED">
        <w:rPr>
          <w:sz w:val="22"/>
          <w:szCs w:val="22"/>
        </w:rPr>
        <w:t>the year</w:t>
      </w:r>
      <w:r>
        <w:rPr>
          <w:sz w:val="22"/>
          <w:szCs w:val="22"/>
        </w:rPr>
        <w:t xml:space="preserve"> </w:t>
      </w:r>
      <w:r w:rsidR="006511D4">
        <w:rPr>
          <w:sz w:val="22"/>
          <w:szCs w:val="22"/>
        </w:rPr>
        <w:t>by $</w:t>
      </w:r>
      <w:r w:rsidR="00182A86">
        <w:rPr>
          <w:sz w:val="22"/>
          <w:szCs w:val="22"/>
        </w:rPr>
        <w:t>23,902</w:t>
      </w:r>
      <w:r w:rsidR="006511D4">
        <w:rPr>
          <w:sz w:val="22"/>
          <w:szCs w:val="22"/>
        </w:rPr>
        <w:t xml:space="preserve"> or </w:t>
      </w:r>
      <w:r w:rsidR="00182A86">
        <w:rPr>
          <w:sz w:val="22"/>
          <w:szCs w:val="22"/>
        </w:rPr>
        <w:t>36</w:t>
      </w:r>
      <w:r w:rsidR="006511D4">
        <w:rPr>
          <w:sz w:val="22"/>
          <w:szCs w:val="22"/>
        </w:rPr>
        <w:t xml:space="preserve">%.  </w:t>
      </w:r>
      <w:r w:rsidR="00796592">
        <w:rPr>
          <w:sz w:val="22"/>
          <w:szCs w:val="22"/>
        </w:rPr>
        <w:t xml:space="preserve">  </w:t>
      </w:r>
      <w:r w:rsidR="007C5C47">
        <w:rPr>
          <w:sz w:val="22"/>
          <w:szCs w:val="22"/>
        </w:rPr>
        <w:t>Union Market</w:t>
      </w:r>
      <w:r w:rsidR="002672B2">
        <w:rPr>
          <w:sz w:val="22"/>
          <w:szCs w:val="22"/>
        </w:rPr>
        <w:t xml:space="preserve">’s net </w:t>
      </w:r>
      <w:r w:rsidR="00182A86">
        <w:rPr>
          <w:sz w:val="22"/>
          <w:szCs w:val="22"/>
        </w:rPr>
        <w:t>profit has decreased</w:t>
      </w:r>
      <w:r w:rsidR="002672B2">
        <w:rPr>
          <w:sz w:val="22"/>
          <w:szCs w:val="22"/>
        </w:rPr>
        <w:t xml:space="preserve"> </w:t>
      </w:r>
      <w:r w:rsidR="007C5C47">
        <w:rPr>
          <w:sz w:val="22"/>
          <w:szCs w:val="22"/>
        </w:rPr>
        <w:t>by $</w:t>
      </w:r>
      <w:r w:rsidR="00182A86">
        <w:rPr>
          <w:sz w:val="22"/>
          <w:szCs w:val="22"/>
        </w:rPr>
        <w:t>3,856</w:t>
      </w:r>
      <w:r w:rsidR="007C5C47">
        <w:rPr>
          <w:sz w:val="22"/>
          <w:szCs w:val="22"/>
        </w:rPr>
        <w:t xml:space="preserve"> or </w:t>
      </w:r>
      <w:r w:rsidR="00182A86">
        <w:rPr>
          <w:sz w:val="22"/>
          <w:szCs w:val="22"/>
        </w:rPr>
        <w:t>23</w:t>
      </w:r>
      <w:r w:rsidR="007C5C47">
        <w:rPr>
          <w:sz w:val="22"/>
          <w:szCs w:val="22"/>
        </w:rPr>
        <w:t>%</w:t>
      </w:r>
      <w:r w:rsidR="00182A86">
        <w:rPr>
          <w:sz w:val="22"/>
          <w:szCs w:val="22"/>
        </w:rPr>
        <w:t xml:space="preserve"> from last year; </w:t>
      </w:r>
      <w:r w:rsidR="007C5C47">
        <w:rPr>
          <w:sz w:val="22"/>
          <w:szCs w:val="22"/>
        </w:rPr>
        <w:t>Underground Media &amp; Design</w:t>
      </w:r>
      <w:r w:rsidR="00182A86">
        <w:rPr>
          <w:sz w:val="22"/>
          <w:szCs w:val="22"/>
        </w:rPr>
        <w:t xml:space="preserve"> is showing a net profit for the year which </w:t>
      </w:r>
      <w:r w:rsidR="007C5C47">
        <w:rPr>
          <w:sz w:val="22"/>
          <w:szCs w:val="22"/>
        </w:rPr>
        <w:t xml:space="preserve">is </w:t>
      </w:r>
      <w:r w:rsidR="00182A86">
        <w:rPr>
          <w:sz w:val="22"/>
          <w:szCs w:val="22"/>
        </w:rPr>
        <w:t>an increase from last year by</w:t>
      </w:r>
      <w:r w:rsidR="007C5C47">
        <w:rPr>
          <w:sz w:val="22"/>
          <w:szCs w:val="22"/>
        </w:rPr>
        <w:t xml:space="preserve"> $</w:t>
      </w:r>
      <w:r w:rsidR="00182A86">
        <w:rPr>
          <w:sz w:val="22"/>
          <w:szCs w:val="22"/>
        </w:rPr>
        <w:t>51,217</w:t>
      </w:r>
      <w:r w:rsidR="007C5C47">
        <w:rPr>
          <w:sz w:val="22"/>
          <w:szCs w:val="22"/>
        </w:rPr>
        <w:t xml:space="preserve"> or </w:t>
      </w:r>
      <w:r w:rsidR="00182A86">
        <w:rPr>
          <w:sz w:val="22"/>
          <w:szCs w:val="22"/>
        </w:rPr>
        <w:t>115</w:t>
      </w:r>
      <w:r w:rsidR="007C5C47">
        <w:rPr>
          <w:sz w:val="22"/>
          <w:szCs w:val="22"/>
        </w:rPr>
        <w:t>%, and TwelvEighty</w:t>
      </w:r>
      <w:r w:rsidR="002672B2">
        <w:rPr>
          <w:sz w:val="22"/>
          <w:szCs w:val="22"/>
        </w:rPr>
        <w:t>’s net loss</w:t>
      </w:r>
      <w:r w:rsidR="007C5C47">
        <w:rPr>
          <w:sz w:val="22"/>
          <w:szCs w:val="22"/>
        </w:rPr>
        <w:t xml:space="preserve"> </w:t>
      </w:r>
      <w:r w:rsidR="00182A86">
        <w:rPr>
          <w:sz w:val="22"/>
          <w:szCs w:val="22"/>
        </w:rPr>
        <w:t>for the year has increased</w:t>
      </w:r>
      <w:r w:rsidR="006511D4">
        <w:rPr>
          <w:sz w:val="22"/>
          <w:szCs w:val="22"/>
        </w:rPr>
        <w:t xml:space="preserve"> by $</w:t>
      </w:r>
      <w:r w:rsidR="002672B2">
        <w:rPr>
          <w:sz w:val="22"/>
          <w:szCs w:val="22"/>
        </w:rPr>
        <w:t>2</w:t>
      </w:r>
      <w:r w:rsidR="00182A86">
        <w:rPr>
          <w:sz w:val="22"/>
          <w:szCs w:val="22"/>
        </w:rPr>
        <w:t>3,487</w:t>
      </w:r>
      <w:r w:rsidR="007C5C47">
        <w:rPr>
          <w:sz w:val="22"/>
          <w:szCs w:val="22"/>
        </w:rPr>
        <w:t xml:space="preserve"> or </w:t>
      </w:r>
      <w:r w:rsidR="00182A86">
        <w:rPr>
          <w:sz w:val="22"/>
          <w:szCs w:val="22"/>
        </w:rPr>
        <w:t>63</w:t>
      </w:r>
      <w:r w:rsidR="007C5C47">
        <w:rPr>
          <w:sz w:val="22"/>
          <w:szCs w:val="22"/>
        </w:rPr>
        <w:t>%</w:t>
      </w:r>
      <w:r w:rsidR="009A7019">
        <w:rPr>
          <w:sz w:val="22"/>
          <w:szCs w:val="22"/>
        </w:rPr>
        <w:t>.</w:t>
      </w:r>
      <w:r w:rsidR="00182A86">
        <w:rPr>
          <w:sz w:val="22"/>
          <w:szCs w:val="22"/>
        </w:rPr>
        <w:t xml:space="preserve">  </w:t>
      </w:r>
      <w:r w:rsidR="007C5C47">
        <w:rPr>
          <w:sz w:val="22"/>
          <w:szCs w:val="22"/>
        </w:rPr>
        <w:t xml:space="preserve"> </w:t>
      </w:r>
      <w:r w:rsidR="009A7019">
        <w:rPr>
          <w:sz w:val="22"/>
          <w:szCs w:val="22"/>
        </w:rPr>
        <w:t xml:space="preserve">  </w:t>
      </w:r>
    </w:p>
    <w:p w14:paraId="5FAF724D" w14:textId="4EF5AC91" w:rsidR="00511CA8" w:rsidRDefault="00511CA8" w:rsidP="00631A9B">
      <w:pPr>
        <w:rPr>
          <w:sz w:val="22"/>
          <w:szCs w:val="22"/>
        </w:rPr>
      </w:pPr>
    </w:p>
    <w:p w14:paraId="41EA1443" w14:textId="77777777" w:rsidR="00273518" w:rsidRDefault="00273518" w:rsidP="00631A9B">
      <w:pPr>
        <w:rPr>
          <w:sz w:val="22"/>
          <w:szCs w:val="22"/>
        </w:rPr>
      </w:pPr>
    </w:p>
    <w:p w14:paraId="52F1777A" w14:textId="77777777" w:rsidR="00511CA8" w:rsidRPr="00740B99" w:rsidRDefault="00511CA8" w:rsidP="00511CA8">
      <w:pPr>
        <w:rPr>
          <w:b/>
          <w:color w:val="660033"/>
          <w:sz w:val="22"/>
          <w:szCs w:val="22"/>
          <w:u w:val="single"/>
        </w:rPr>
      </w:pPr>
      <w:r>
        <w:rPr>
          <w:b/>
          <w:color w:val="660033"/>
          <w:sz w:val="22"/>
          <w:szCs w:val="22"/>
          <w:u w:val="single"/>
        </w:rPr>
        <w:t>Zero Cost Centre - Child Care Centre</w:t>
      </w:r>
    </w:p>
    <w:p w14:paraId="3B6119AE" w14:textId="77777777" w:rsidR="00182A86" w:rsidRDefault="00182A86" w:rsidP="00182A86">
      <w:pPr>
        <w:rPr>
          <w:sz w:val="22"/>
          <w:szCs w:val="22"/>
        </w:rPr>
      </w:pPr>
      <w:bookmarkStart w:id="3" w:name="_Hlk496607556"/>
      <w:bookmarkStart w:id="4" w:name="_Hlk488405816"/>
      <w:r>
        <w:rPr>
          <w:sz w:val="22"/>
          <w:szCs w:val="22"/>
        </w:rPr>
        <w:t>The Child Care Centre is showing a net profit for the month of August which is $29,112 or 502% higher than last August’s net loss.  For the year, the Child Care Centre is showing a net loss which is $24,015 or 323% higher than last year’s net Profit.  Total revenue for the month of August is up by $29,739 or 57% due to Systems Priority funding received from the City.  This money is used by the Child Care centre to help offset costs of running the centre and to supplement any improvements needed for extra toys and supplies.  Total revenue for the year is up by $10,996 or 4.5%, with most of the increase coming from parent fees and subsidies.</w:t>
      </w:r>
    </w:p>
    <w:bookmarkEnd w:id="3"/>
    <w:bookmarkEnd w:id="4"/>
    <w:p w14:paraId="66F07B31" w14:textId="4C182329" w:rsidR="00511CA8" w:rsidRDefault="00511CA8" w:rsidP="00511CA8">
      <w:pPr>
        <w:rPr>
          <w:sz w:val="22"/>
          <w:szCs w:val="22"/>
        </w:rPr>
      </w:pPr>
    </w:p>
    <w:p w14:paraId="5509A70C" w14:textId="77777777" w:rsidR="00273518" w:rsidRDefault="00273518" w:rsidP="00511CA8">
      <w:pPr>
        <w:rPr>
          <w:sz w:val="22"/>
          <w:szCs w:val="22"/>
        </w:rPr>
      </w:pPr>
    </w:p>
    <w:p w14:paraId="3EE6FCE7" w14:textId="77777777" w:rsidR="00511CA8" w:rsidRDefault="00511CA8" w:rsidP="00511CA8">
      <w:pPr>
        <w:rPr>
          <w:sz w:val="22"/>
          <w:szCs w:val="22"/>
        </w:rPr>
      </w:pPr>
      <w:r>
        <w:rPr>
          <w:b/>
          <w:color w:val="660033"/>
          <w:sz w:val="22"/>
          <w:szCs w:val="22"/>
          <w:u w:val="single"/>
        </w:rPr>
        <w:t>Committees &amp; Services</w:t>
      </w:r>
      <w:r>
        <w:rPr>
          <w:sz w:val="22"/>
          <w:szCs w:val="22"/>
        </w:rPr>
        <w:t xml:space="preserve"> </w:t>
      </w:r>
    </w:p>
    <w:p w14:paraId="1707719F" w14:textId="77777777" w:rsidR="00182A86" w:rsidRDefault="00182A86" w:rsidP="00182A86">
      <w:pPr>
        <w:rPr>
          <w:sz w:val="22"/>
          <w:szCs w:val="22"/>
        </w:rPr>
      </w:pPr>
      <w:bookmarkStart w:id="5" w:name="_Hlk507579614"/>
      <w:bookmarkStart w:id="6" w:name="_Hlk488405905"/>
      <w:r>
        <w:rPr>
          <w:sz w:val="22"/>
          <w:szCs w:val="22"/>
        </w:rPr>
        <w:t xml:space="preserve">Total combined net expenditures for Committees &amp; Services for the month of August is up by $19,890 or 16%.  </w:t>
      </w:r>
      <w:bookmarkStart w:id="7" w:name="_Hlk496607676"/>
      <w:r>
        <w:rPr>
          <w:sz w:val="22"/>
          <w:szCs w:val="22"/>
        </w:rPr>
        <w:t xml:space="preserve">Total combined net expenditures for the year is up by $80,635 or 23% from last year.  As mentioned last month, most of this increase in expenses is from Executive’s payment to OUSA of $57,000 which wasn’t paid until November last year.  </w:t>
      </w:r>
      <w:bookmarkEnd w:id="7"/>
      <w:r>
        <w:rPr>
          <w:sz w:val="22"/>
          <w:szCs w:val="22"/>
        </w:rPr>
        <w:t xml:space="preserve">     </w:t>
      </w:r>
    </w:p>
    <w:p w14:paraId="1AFAF6EA" w14:textId="77777777" w:rsidR="00273518" w:rsidRDefault="00273518" w:rsidP="001461CA">
      <w:pPr>
        <w:rPr>
          <w:sz w:val="22"/>
          <w:szCs w:val="22"/>
        </w:rPr>
      </w:pPr>
    </w:p>
    <w:p w14:paraId="039FF110" w14:textId="6E5A5850" w:rsidR="001461CA" w:rsidRDefault="001461CA" w:rsidP="001461CA">
      <w:pPr>
        <w:rPr>
          <w:sz w:val="22"/>
          <w:szCs w:val="22"/>
        </w:rPr>
      </w:pPr>
      <w:r>
        <w:rPr>
          <w:sz w:val="22"/>
          <w:szCs w:val="22"/>
        </w:rPr>
        <w:t xml:space="preserve">     </w:t>
      </w:r>
    </w:p>
    <w:bookmarkEnd w:id="5"/>
    <w:bookmarkEnd w:id="6"/>
    <w:p w14:paraId="55E4827F" w14:textId="63173FF7" w:rsidR="00005403" w:rsidRDefault="00794EB1" w:rsidP="00631A9B">
      <w:pPr>
        <w:rPr>
          <w:b/>
          <w:color w:val="660033"/>
          <w:sz w:val="22"/>
          <w:szCs w:val="22"/>
          <w:u w:val="single"/>
        </w:rPr>
      </w:pPr>
      <w:r>
        <w:rPr>
          <w:b/>
          <w:color w:val="660033"/>
          <w:sz w:val="22"/>
          <w:szCs w:val="22"/>
          <w:u w:val="single"/>
        </w:rPr>
        <w:lastRenderedPageBreak/>
        <w:t>Service Operations</w:t>
      </w:r>
    </w:p>
    <w:p w14:paraId="2F60C6BE" w14:textId="7A46764D" w:rsidR="002A74AF" w:rsidRDefault="00714329" w:rsidP="002A74AF">
      <w:pPr>
        <w:rPr>
          <w:sz w:val="22"/>
          <w:szCs w:val="22"/>
        </w:rPr>
      </w:pPr>
      <w:r>
        <w:rPr>
          <w:sz w:val="22"/>
          <w:szCs w:val="22"/>
        </w:rPr>
        <w:t>Service Operations</w:t>
      </w:r>
      <w:r w:rsidR="008E39C3">
        <w:rPr>
          <w:sz w:val="22"/>
          <w:szCs w:val="22"/>
        </w:rPr>
        <w:t xml:space="preserve"> are showing a</w:t>
      </w:r>
      <w:r w:rsidR="008B6B1A">
        <w:rPr>
          <w:sz w:val="22"/>
          <w:szCs w:val="22"/>
        </w:rPr>
        <w:t xml:space="preserve"> </w:t>
      </w:r>
      <w:r w:rsidR="00934D10">
        <w:rPr>
          <w:sz w:val="22"/>
          <w:szCs w:val="22"/>
        </w:rPr>
        <w:t>decrease in</w:t>
      </w:r>
      <w:r w:rsidR="008E39C3">
        <w:rPr>
          <w:sz w:val="22"/>
          <w:szCs w:val="22"/>
        </w:rPr>
        <w:t xml:space="preserve"> net </w:t>
      </w:r>
      <w:r w:rsidR="001461CA">
        <w:rPr>
          <w:sz w:val="22"/>
          <w:szCs w:val="22"/>
        </w:rPr>
        <w:t>loss</w:t>
      </w:r>
      <w:r w:rsidR="000E6B8D">
        <w:rPr>
          <w:sz w:val="22"/>
          <w:szCs w:val="22"/>
        </w:rPr>
        <w:t xml:space="preserve"> for </w:t>
      </w:r>
      <w:r w:rsidR="008B6B1A">
        <w:rPr>
          <w:sz w:val="22"/>
          <w:szCs w:val="22"/>
        </w:rPr>
        <w:t>the year</w:t>
      </w:r>
      <w:r w:rsidR="006501D3">
        <w:rPr>
          <w:sz w:val="22"/>
          <w:szCs w:val="22"/>
        </w:rPr>
        <w:t xml:space="preserve"> by</w:t>
      </w:r>
      <w:r w:rsidR="000E6B8D">
        <w:rPr>
          <w:sz w:val="22"/>
          <w:szCs w:val="22"/>
        </w:rPr>
        <w:t xml:space="preserve"> $</w:t>
      </w:r>
      <w:r w:rsidR="007E63EB">
        <w:rPr>
          <w:sz w:val="22"/>
          <w:szCs w:val="22"/>
        </w:rPr>
        <w:t>1</w:t>
      </w:r>
      <w:r w:rsidR="00934D10">
        <w:rPr>
          <w:sz w:val="22"/>
          <w:szCs w:val="22"/>
        </w:rPr>
        <w:t>24</w:t>
      </w:r>
      <w:r w:rsidR="002A74AF">
        <w:rPr>
          <w:sz w:val="22"/>
          <w:szCs w:val="22"/>
        </w:rPr>
        <w:t>,</w:t>
      </w:r>
      <w:r w:rsidR="00934D10">
        <w:rPr>
          <w:sz w:val="22"/>
          <w:szCs w:val="22"/>
        </w:rPr>
        <w:t>690</w:t>
      </w:r>
      <w:r w:rsidR="006501D3">
        <w:rPr>
          <w:sz w:val="22"/>
          <w:szCs w:val="22"/>
        </w:rPr>
        <w:t xml:space="preserve"> or </w:t>
      </w:r>
      <w:r w:rsidR="00934D10">
        <w:rPr>
          <w:sz w:val="22"/>
          <w:szCs w:val="22"/>
        </w:rPr>
        <w:t>4</w:t>
      </w:r>
      <w:r w:rsidR="002A74AF">
        <w:rPr>
          <w:sz w:val="22"/>
          <w:szCs w:val="22"/>
        </w:rPr>
        <w:t>5</w:t>
      </w:r>
      <w:r w:rsidR="006501D3">
        <w:rPr>
          <w:sz w:val="22"/>
          <w:szCs w:val="22"/>
        </w:rPr>
        <w:t>%</w:t>
      </w:r>
      <w:r w:rsidR="00934D10">
        <w:rPr>
          <w:sz w:val="22"/>
          <w:szCs w:val="22"/>
        </w:rPr>
        <w:t xml:space="preserve"> over last year</w:t>
      </w:r>
      <w:r w:rsidR="002A74AF">
        <w:rPr>
          <w:sz w:val="22"/>
          <w:szCs w:val="22"/>
        </w:rPr>
        <w:t xml:space="preserve">. </w:t>
      </w:r>
      <w:r w:rsidR="000E6B8D">
        <w:rPr>
          <w:sz w:val="22"/>
          <w:szCs w:val="22"/>
        </w:rPr>
        <w:t xml:space="preserve"> </w:t>
      </w:r>
      <w:bookmarkStart w:id="8" w:name="_Hlk488405731"/>
      <w:r w:rsidR="006501D3">
        <w:rPr>
          <w:sz w:val="22"/>
          <w:szCs w:val="22"/>
        </w:rPr>
        <w:t xml:space="preserve">  </w:t>
      </w:r>
      <w:r w:rsidR="00934D10">
        <w:rPr>
          <w:sz w:val="22"/>
          <w:szCs w:val="22"/>
        </w:rPr>
        <w:t xml:space="preserve">Most of this decrease is due to </w:t>
      </w:r>
      <w:r w:rsidR="002A74AF">
        <w:rPr>
          <w:sz w:val="22"/>
          <w:szCs w:val="22"/>
        </w:rPr>
        <w:t xml:space="preserve">Campus Events </w:t>
      </w:r>
      <w:r w:rsidR="00934D10">
        <w:rPr>
          <w:sz w:val="22"/>
          <w:szCs w:val="22"/>
        </w:rPr>
        <w:t xml:space="preserve">which </w:t>
      </w:r>
      <w:r w:rsidR="002A74AF">
        <w:rPr>
          <w:sz w:val="22"/>
          <w:szCs w:val="22"/>
        </w:rPr>
        <w:t xml:space="preserve">is showing a </w:t>
      </w:r>
      <w:r w:rsidR="00934D10">
        <w:rPr>
          <w:sz w:val="22"/>
          <w:szCs w:val="22"/>
        </w:rPr>
        <w:t xml:space="preserve">decrease in </w:t>
      </w:r>
      <w:r w:rsidR="002A74AF">
        <w:rPr>
          <w:sz w:val="22"/>
          <w:szCs w:val="22"/>
        </w:rPr>
        <w:t xml:space="preserve">net Loss by $129,690 or 45% from last year’s net loss.  Again, most of the differences are due to the timing of payments for the various events held during Welcome Week and Homecoming.  Overall, Campus Events is still under budget for the first 4 months of the year.    </w:t>
      </w:r>
    </w:p>
    <w:p w14:paraId="11E8DBA5" w14:textId="6D907D96" w:rsidR="006501D3" w:rsidRDefault="006501D3" w:rsidP="006501D3">
      <w:pPr>
        <w:rPr>
          <w:sz w:val="22"/>
          <w:szCs w:val="22"/>
        </w:rPr>
      </w:pPr>
    </w:p>
    <w:bookmarkEnd w:id="8"/>
    <w:p w14:paraId="1862DBBB" w14:textId="47B46209" w:rsidR="008B6B1A" w:rsidRDefault="008B6B1A" w:rsidP="00866654">
      <w:pPr>
        <w:rPr>
          <w:sz w:val="22"/>
          <w:szCs w:val="22"/>
        </w:rPr>
      </w:pPr>
    </w:p>
    <w:tbl>
      <w:tblPr>
        <w:tblW w:w="9440" w:type="dxa"/>
        <w:tblLook w:val="04A0" w:firstRow="1" w:lastRow="0" w:firstColumn="1" w:lastColumn="0" w:noHBand="0" w:noVBand="1"/>
      </w:tblPr>
      <w:tblGrid>
        <w:gridCol w:w="3450"/>
        <w:gridCol w:w="1266"/>
        <w:gridCol w:w="1266"/>
        <w:gridCol w:w="1400"/>
        <w:gridCol w:w="1400"/>
        <w:gridCol w:w="1216"/>
      </w:tblGrid>
      <w:tr w:rsidR="007166D2" w:rsidRPr="007166D2" w14:paraId="0F4CD564" w14:textId="77777777" w:rsidTr="007166D2">
        <w:trPr>
          <w:trHeight w:val="375"/>
        </w:trPr>
        <w:tc>
          <w:tcPr>
            <w:tcW w:w="9440" w:type="dxa"/>
            <w:gridSpan w:val="6"/>
            <w:tcBorders>
              <w:top w:val="nil"/>
              <w:left w:val="nil"/>
              <w:bottom w:val="nil"/>
              <w:right w:val="nil"/>
            </w:tcBorders>
            <w:shd w:val="clear" w:color="auto" w:fill="auto"/>
            <w:noWrap/>
            <w:vAlign w:val="bottom"/>
            <w:hideMark/>
          </w:tcPr>
          <w:p w14:paraId="7FC04CBC" w14:textId="77777777" w:rsidR="007166D2" w:rsidRPr="007166D2" w:rsidRDefault="007166D2" w:rsidP="007166D2">
            <w:pPr>
              <w:jc w:val="center"/>
              <w:rPr>
                <w:rFonts w:ascii="Arial" w:hAnsi="Arial" w:cs="Arial"/>
                <w:b/>
                <w:bCs/>
                <w:i/>
                <w:iCs/>
                <w:color w:val="990033"/>
                <w:sz w:val="28"/>
                <w:szCs w:val="28"/>
                <w:lang w:val="en-CA" w:eastAsia="en-CA"/>
              </w:rPr>
            </w:pPr>
            <w:r w:rsidRPr="007166D2">
              <w:rPr>
                <w:rFonts w:ascii="Arial" w:hAnsi="Arial" w:cs="Arial"/>
                <w:b/>
                <w:bCs/>
                <w:i/>
                <w:iCs/>
                <w:color w:val="990033"/>
                <w:sz w:val="28"/>
                <w:szCs w:val="28"/>
                <w:lang w:val="en-CA" w:eastAsia="en-CA"/>
              </w:rPr>
              <w:t>McMaster Students Union Inc.</w:t>
            </w:r>
          </w:p>
        </w:tc>
      </w:tr>
      <w:tr w:rsidR="007166D2" w:rsidRPr="007166D2" w14:paraId="37F67E70" w14:textId="77777777" w:rsidTr="007166D2">
        <w:trPr>
          <w:trHeight w:val="255"/>
        </w:trPr>
        <w:tc>
          <w:tcPr>
            <w:tcW w:w="9440" w:type="dxa"/>
            <w:gridSpan w:val="6"/>
            <w:tcBorders>
              <w:top w:val="nil"/>
              <w:left w:val="nil"/>
              <w:bottom w:val="nil"/>
              <w:right w:val="nil"/>
            </w:tcBorders>
            <w:shd w:val="clear" w:color="auto" w:fill="auto"/>
            <w:noWrap/>
            <w:vAlign w:val="bottom"/>
            <w:hideMark/>
          </w:tcPr>
          <w:p w14:paraId="11A31202" w14:textId="77777777" w:rsidR="007166D2" w:rsidRPr="007166D2" w:rsidRDefault="007166D2" w:rsidP="007166D2">
            <w:pPr>
              <w:jc w:val="center"/>
              <w:rPr>
                <w:rFonts w:ascii="Arial" w:hAnsi="Arial" w:cs="Arial"/>
                <w:b/>
                <w:bCs/>
                <w:i/>
                <w:iCs/>
                <w:color w:val="000000"/>
                <w:sz w:val="18"/>
                <w:szCs w:val="18"/>
                <w:lang w:val="en-CA" w:eastAsia="en-CA"/>
              </w:rPr>
            </w:pPr>
            <w:r w:rsidRPr="007166D2">
              <w:rPr>
                <w:rFonts w:ascii="Arial" w:hAnsi="Arial" w:cs="Arial"/>
                <w:b/>
                <w:bCs/>
                <w:i/>
                <w:iCs/>
                <w:color w:val="000000"/>
                <w:sz w:val="18"/>
                <w:szCs w:val="18"/>
                <w:lang w:val="en-CA" w:eastAsia="en-CA"/>
              </w:rPr>
              <w:t>For the Four Months Ending August 31, 2018</w:t>
            </w:r>
          </w:p>
        </w:tc>
      </w:tr>
      <w:tr w:rsidR="007166D2" w:rsidRPr="007166D2" w14:paraId="6B3282BE" w14:textId="77777777" w:rsidTr="007166D2">
        <w:trPr>
          <w:trHeight w:val="255"/>
        </w:trPr>
        <w:tc>
          <w:tcPr>
            <w:tcW w:w="3450" w:type="dxa"/>
            <w:tcBorders>
              <w:top w:val="nil"/>
              <w:left w:val="nil"/>
              <w:bottom w:val="nil"/>
              <w:right w:val="nil"/>
            </w:tcBorders>
            <w:shd w:val="clear" w:color="auto" w:fill="auto"/>
            <w:noWrap/>
            <w:vAlign w:val="bottom"/>
            <w:hideMark/>
          </w:tcPr>
          <w:p w14:paraId="065D72DF" w14:textId="77777777" w:rsidR="007166D2" w:rsidRPr="007166D2" w:rsidRDefault="007166D2" w:rsidP="007166D2">
            <w:pPr>
              <w:jc w:val="center"/>
              <w:rPr>
                <w:rFonts w:ascii="Arial" w:hAnsi="Arial" w:cs="Arial"/>
                <w:b/>
                <w:bCs/>
                <w:i/>
                <w:iCs/>
                <w:color w:val="000000"/>
                <w:sz w:val="18"/>
                <w:szCs w:val="18"/>
                <w:lang w:val="en-CA" w:eastAsia="en-CA"/>
              </w:rPr>
            </w:pPr>
          </w:p>
        </w:tc>
        <w:tc>
          <w:tcPr>
            <w:tcW w:w="1152" w:type="dxa"/>
            <w:tcBorders>
              <w:top w:val="nil"/>
              <w:left w:val="nil"/>
              <w:bottom w:val="nil"/>
              <w:right w:val="nil"/>
            </w:tcBorders>
            <w:shd w:val="clear" w:color="auto" w:fill="auto"/>
            <w:noWrap/>
            <w:vAlign w:val="bottom"/>
            <w:hideMark/>
          </w:tcPr>
          <w:p w14:paraId="4A0C82DE" w14:textId="77777777" w:rsidR="007166D2" w:rsidRPr="007166D2" w:rsidRDefault="007166D2" w:rsidP="007166D2">
            <w:pPr>
              <w:rPr>
                <w:sz w:val="20"/>
                <w:szCs w:val="20"/>
                <w:lang w:val="en-CA" w:eastAsia="en-CA"/>
              </w:rPr>
            </w:pPr>
          </w:p>
        </w:tc>
        <w:tc>
          <w:tcPr>
            <w:tcW w:w="1152" w:type="dxa"/>
            <w:tcBorders>
              <w:top w:val="nil"/>
              <w:left w:val="nil"/>
              <w:bottom w:val="nil"/>
              <w:right w:val="nil"/>
            </w:tcBorders>
            <w:shd w:val="clear" w:color="auto" w:fill="auto"/>
            <w:noWrap/>
            <w:vAlign w:val="bottom"/>
            <w:hideMark/>
          </w:tcPr>
          <w:p w14:paraId="5D055EC8" w14:textId="77777777" w:rsidR="007166D2" w:rsidRPr="007166D2" w:rsidRDefault="007166D2" w:rsidP="007166D2">
            <w:pPr>
              <w:rPr>
                <w:sz w:val="20"/>
                <w:szCs w:val="20"/>
                <w:lang w:val="en-CA" w:eastAsia="en-CA"/>
              </w:rPr>
            </w:pPr>
          </w:p>
        </w:tc>
        <w:tc>
          <w:tcPr>
            <w:tcW w:w="1294" w:type="dxa"/>
            <w:tcBorders>
              <w:top w:val="nil"/>
              <w:left w:val="nil"/>
              <w:bottom w:val="nil"/>
              <w:right w:val="nil"/>
            </w:tcBorders>
            <w:shd w:val="clear" w:color="auto" w:fill="auto"/>
            <w:noWrap/>
            <w:vAlign w:val="bottom"/>
            <w:hideMark/>
          </w:tcPr>
          <w:p w14:paraId="3211FA38" w14:textId="77777777" w:rsidR="007166D2" w:rsidRPr="007166D2" w:rsidRDefault="007166D2" w:rsidP="007166D2">
            <w:pPr>
              <w:rPr>
                <w:sz w:val="20"/>
                <w:szCs w:val="20"/>
                <w:lang w:val="en-CA" w:eastAsia="en-CA"/>
              </w:rPr>
            </w:pPr>
          </w:p>
        </w:tc>
        <w:tc>
          <w:tcPr>
            <w:tcW w:w="1294" w:type="dxa"/>
            <w:tcBorders>
              <w:top w:val="nil"/>
              <w:left w:val="nil"/>
              <w:bottom w:val="nil"/>
              <w:right w:val="nil"/>
            </w:tcBorders>
            <w:shd w:val="clear" w:color="auto" w:fill="auto"/>
            <w:noWrap/>
            <w:vAlign w:val="bottom"/>
            <w:hideMark/>
          </w:tcPr>
          <w:p w14:paraId="76B90ED5" w14:textId="77777777" w:rsidR="007166D2" w:rsidRPr="007166D2" w:rsidRDefault="007166D2" w:rsidP="007166D2">
            <w:pPr>
              <w:rPr>
                <w:sz w:val="20"/>
                <w:szCs w:val="20"/>
                <w:lang w:val="en-CA" w:eastAsia="en-CA"/>
              </w:rPr>
            </w:pPr>
          </w:p>
        </w:tc>
        <w:tc>
          <w:tcPr>
            <w:tcW w:w="1098" w:type="dxa"/>
            <w:tcBorders>
              <w:top w:val="nil"/>
              <w:left w:val="nil"/>
              <w:bottom w:val="nil"/>
              <w:right w:val="nil"/>
            </w:tcBorders>
            <w:shd w:val="clear" w:color="auto" w:fill="auto"/>
            <w:noWrap/>
            <w:vAlign w:val="bottom"/>
            <w:hideMark/>
          </w:tcPr>
          <w:p w14:paraId="347AEF13" w14:textId="77777777" w:rsidR="007166D2" w:rsidRPr="007166D2" w:rsidRDefault="007166D2" w:rsidP="007166D2">
            <w:pPr>
              <w:rPr>
                <w:sz w:val="20"/>
                <w:szCs w:val="20"/>
                <w:lang w:val="en-CA" w:eastAsia="en-CA"/>
              </w:rPr>
            </w:pPr>
          </w:p>
        </w:tc>
      </w:tr>
      <w:tr w:rsidR="007166D2" w:rsidRPr="007166D2" w14:paraId="5FB448E1" w14:textId="77777777" w:rsidTr="007166D2">
        <w:trPr>
          <w:trHeight w:val="255"/>
        </w:trPr>
        <w:tc>
          <w:tcPr>
            <w:tcW w:w="3450" w:type="dxa"/>
            <w:tcBorders>
              <w:top w:val="nil"/>
              <w:left w:val="nil"/>
              <w:bottom w:val="nil"/>
              <w:right w:val="nil"/>
            </w:tcBorders>
            <w:shd w:val="clear" w:color="auto" w:fill="auto"/>
            <w:noWrap/>
            <w:vAlign w:val="bottom"/>
            <w:hideMark/>
          </w:tcPr>
          <w:p w14:paraId="0BCEA0DF" w14:textId="77777777" w:rsidR="007166D2" w:rsidRPr="007166D2" w:rsidRDefault="007166D2" w:rsidP="007166D2">
            <w:pPr>
              <w:rPr>
                <w:sz w:val="20"/>
                <w:szCs w:val="20"/>
                <w:lang w:val="en-CA" w:eastAsia="en-CA"/>
              </w:rPr>
            </w:pPr>
          </w:p>
        </w:tc>
        <w:tc>
          <w:tcPr>
            <w:tcW w:w="1152" w:type="dxa"/>
            <w:tcBorders>
              <w:top w:val="nil"/>
              <w:left w:val="nil"/>
              <w:bottom w:val="nil"/>
              <w:right w:val="nil"/>
            </w:tcBorders>
            <w:shd w:val="clear" w:color="auto" w:fill="auto"/>
            <w:noWrap/>
            <w:vAlign w:val="bottom"/>
            <w:hideMark/>
          </w:tcPr>
          <w:p w14:paraId="10FE4994" w14:textId="77777777" w:rsidR="007166D2" w:rsidRPr="007166D2" w:rsidRDefault="007166D2" w:rsidP="007166D2">
            <w:pPr>
              <w:rPr>
                <w:sz w:val="20"/>
                <w:szCs w:val="20"/>
                <w:lang w:val="en-CA" w:eastAsia="en-CA"/>
              </w:rPr>
            </w:pPr>
          </w:p>
        </w:tc>
        <w:tc>
          <w:tcPr>
            <w:tcW w:w="1152" w:type="dxa"/>
            <w:tcBorders>
              <w:top w:val="nil"/>
              <w:left w:val="nil"/>
              <w:bottom w:val="nil"/>
              <w:right w:val="nil"/>
            </w:tcBorders>
            <w:shd w:val="clear" w:color="auto" w:fill="auto"/>
            <w:noWrap/>
            <w:vAlign w:val="bottom"/>
            <w:hideMark/>
          </w:tcPr>
          <w:p w14:paraId="06597FF2" w14:textId="77777777" w:rsidR="007166D2" w:rsidRPr="007166D2" w:rsidRDefault="007166D2" w:rsidP="007166D2">
            <w:pPr>
              <w:rPr>
                <w:sz w:val="20"/>
                <w:szCs w:val="20"/>
                <w:lang w:val="en-CA" w:eastAsia="en-CA"/>
              </w:rPr>
            </w:pPr>
          </w:p>
        </w:tc>
        <w:tc>
          <w:tcPr>
            <w:tcW w:w="1294" w:type="dxa"/>
            <w:tcBorders>
              <w:top w:val="nil"/>
              <w:left w:val="nil"/>
              <w:bottom w:val="nil"/>
              <w:right w:val="nil"/>
            </w:tcBorders>
            <w:shd w:val="clear" w:color="auto" w:fill="auto"/>
            <w:noWrap/>
            <w:vAlign w:val="bottom"/>
            <w:hideMark/>
          </w:tcPr>
          <w:p w14:paraId="328E1DD6" w14:textId="77777777" w:rsidR="007166D2" w:rsidRPr="007166D2" w:rsidRDefault="007166D2" w:rsidP="007166D2">
            <w:pPr>
              <w:rPr>
                <w:sz w:val="20"/>
                <w:szCs w:val="20"/>
                <w:lang w:val="en-CA" w:eastAsia="en-CA"/>
              </w:rPr>
            </w:pPr>
          </w:p>
        </w:tc>
        <w:tc>
          <w:tcPr>
            <w:tcW w:w="1294" w:type="dxa"/>
            <w:tcBorders>
              <w:top w:val="nil"/>
              <w:left w:val="nil"/>
              <w:bottom w:val="nil"/>
              <w:right w:val="nil"/>
            </w:tcBorders>
            <w:shd w:val="clear" w:color="auto" w:fill="auto"/>
            <w:noWrap/>
            <w:vAlign w:val="bottom"/>
            <w:hideMark/>
          </w:tcPr>
          <w:p w14:paraId="111B7A0E" w14:textId="77777777" w:rsidR="007166D2" w:rsidRPr="007166D2" w:rsidRDefault="007166D2" w:rsidP="007166D2">
            <w:pPr>
              <w:rPr>
                <w:sz w:val="20"/>
                <w:szCs w:val="20"/>
                <w:lang w:val="en-CA" w:eastAsia="en-CA"/>
              </w:rPr>
            </w:pPr>
          </w:p>
        </w:tc>
        <w:tc>
          <w:tcPr>
            <w:tcW w:w="1098" w:type="dxa"/>
            <w:tcBorders>
              <w:top w:val="nil"/>
              <w:left w:val="nil"/>
              <w:bottom w:val="single" w:sz="4" w:space="0" w:color="auto"/>
              <w:right w:val="nil"/>
            </w:tcBorders>
            <w:shd w:val="clear" w:color="auto" w:fill="auto"/>
            <w:noWrap/>
            <w:vAlign w:val="bottom"/>
            <w:hideMark/>
          </w:tcPr>
          <w:p w14:paraId="6626205C" w14:textId="77777777" w:rsidR="007166D2" w:rsidRPr="007166D2" w:rsidRDefault="007166D2" w:rsidP="007166D2">
            <w:pPr>
              <w:jc w:val="center"/>
              <w:rPr>
                <w:color w:val="000000"/>
                <w:sz w:val="20"/>
                <w:szCs w:val="20"/>
                <w:lang w:val="en-CA" w:eastAsia="en-CA"/>
              </w:rPr>
            </w:pPr>
            <w:r w:rsidRPr="007166D2">
              <w:rPr>
                <w:color w:val="000000"/>
                <w:sz w:val="20"/>
                <w:szCs w:val="20"/>
                <w:lang w:val="en-CA" w:eastAsia="en-CA"/>
              </w:rPr>
              <w:t>BUDGET</w:t>
            </w:r>
          </w:p>
        </w:tc>
      </w:tr>
      <w:tr w:rsidR="007166D2" w:rsidRPr="007166D2" w14:paraId="2E930823" w14:textId="77777777" w:rsidTr="007166D2">
        <w:trPr>
          <w:trHeight w:val="255"/>
        </w:trPr>
        <w:tc>
          <w:tcPr>
            <w:tcW w:w="3450" w:type="dxa"/>
            <w:tcBorders>
              <w:top w:val="nil"/>
              <w:left w:val="nil"/>
              <w:bottom w:val="nil"/>
              <w:right w:val="nil"/>
            </w:tcBorders>
            <w:shd w:val="clear" w:color="auto" w:fill="auto"/>
            <w:noWrap/>
            <w:vAlign w:val="bottom"/>
            <w:hideMark/>
          </w:tcPr>
          <w:p w14:paraId="225CC950" w14:textId="77777777" w:rsidR="007166D2" w:rsidRPr="007166D2" w:rsidRDefault="007166D2" w:rsidP="007166D2">
            <w:pPr>
              <w:jc w:val="center"/>
              <w:rPr>
                <w:color w:val="000000"/>
                <w:sz w:val="20"/>
                <w:szCs w:val="20"/>
                <w:lang w:val="en-CA" w:eastAsia="en-CA"/>
              </w:rPr>
            </w:pPr>
          </w:p>
        </w:tc>
        <w:tc>
          <w:tcPr>
            <w:tcW w:w="1152" w:type="dxa"/>
            <w:tcBorders>
              <w:top w:val="nil"/>
              <w:left w:val="nil"/>
              <w:bottom w:val="single" w:sz="4" w:space="0" w:color="auto"/>
              <w:right w:val="nil"/>
            </w:tcBorders>
            <w:shd w:val="clear" w:color="auto" w:fill="auto"/>
            <w:noWrap/>
            <w:vAlign w:val="bottom"/>
            <w:hideMark/>
          </w:tcPr>
          <w:p w14:paraId="5CA3D947" w14:textId="77777777" w:rsidR="007166D2" w:rsidRPr="007166D2" w:rsidRDefault="007166D2" w:rsidP="007166D2">
            <w:pPr>
              <w:jc w:val="center"/>
              <w:rPr>
                <w:b/>
                <w:bCs/>
                <w:color w:val="000000"/>
                <w:sz w:val="20"/>
                <w:szCs w:val="20"/>
                <w:lang w:val="en-CA" w:eastAsia="en-CA"/>
              </w:rPr>
            </w:pPr>
            <w:r w:rsidRPr="007166D2">
              <w:rPr>
                <w:b/>
                <w:bCs/>
                <w:color w:val="000000"/>
                <w:sz w:val="20"/>
                <w:szCs w:val="20"/>
                <w:lang w:val="en-CA" w:eastAsia="en-CA"/>
              </w:rPr>
              <w:t>2018-19</w:t>
            </w:r>
          </w:p>
        </w:tc>
        <w:tc>
          <w:tcPr>
            <w:tcW w:w="1152" w:type="dxa"/>
            <w:tcBorders>
              <w:top w:val="nil"/>
              <w:left w:val="nil"/>
              <w:bottom w:val="single" w:sz="4" w:space="0" w:color="auto"/>
              <w:right w:val="nil"/>
            </w:tcBorders>
            <w:shd w:val="clear" w:color="auto" w:fill="auto"/>
            <w:noWrap/>
            <w:vAlign w:val="bottom"/>
            <w:hideMark/>
          </w:tcPr>
          <w:p w14:paraId="14D3631F" w14:textId="77777777" w:rsidR="007166D2" w:rsidRPr="007166D2" w:rsidRDefault="007166D2" w:rsidP="007166D2">
            <w:pPr>
              <w:jc w:val="center"/>
              <w:rPr>
                <w:color w:val="000000"/>
                <w:sz w:val="20"/>
                <w:szCs w:val="20"/>
                <w:lang w:val="en-CA" w:eastAsia="en-CA"/>
              </w:rPr>
            </w:pPr>
            <w:r w:rsidRPr="007166D2">
              <w:rPr>
                <w:color w:val="000000"/>
                <w:sz w:val="20"/>
                <w:szCs w:val="20"/>
                <w:lang w:val="en-CA" w:eastAsia="en-CA"/>
              </w:rPr>
              <w:t>2017-18</w:t>
            </w:r>
          </w:p>
        </w:tc>
        <w:tc>
          <w:tcPr>
            <w:tcW w:w="1294" w:type="dxa"/>
            <w:tcBorders>
              <w:top w:val="nil"/>
              <w:left w:val="nil"/>
              <w:bottom w:val="single" w:sz="4" w:space="0" w:color="auto"/>
              <w:right w:val="nil"/>
            </w:tcBorders>
            <w:shd w:val="clear" w:color="auto" w:fill="auto"/>
            <w:noWrap/>
            <w:vAlign w:val="bottom"/>
            <w:hideMark/>
          </w:tcPr>
          <w:p w14:paraId="0C8E4613" w14:textId="77777777" w:rsidR="007166D2" w:rsidRPr="007166D2" w:rsidRDefault="007166D2" w:rsidP="007166D2">
            <w:pPr>
              <w:jc w:val="center"/>
              <w:rPr>
                <w:color w:val="000000"/>
                <w:sz w:val="20"/>
                <w:szCs w:val="20"/>
                <w:lang w:val="en-CA" w:eastAsia="en-CA"/>
              </w:rPr>
            </w:pPr>
            <w:r w:rsidRPr="007166D2">
              <w:rPr>
                <w:color w:val="000000"/>
                <w:sz w:val="20"/>
                <w:szCs w:val="20"/>
                <w:lang w:val="en-CA" w:eastAsia="en-CA"/>
              </w:rPr>
              <w:t>2017-18</w:t>
            </w:r>
          </w:p>
        </w:tc>
        <w:tc>
          <w:tcPr>
            <w:tcW w:w="1294" w:type="dxa"/>
            <w:tcBorders>
              <w:top w:val="nil"/>
              <w:left w:val="nil"/>
              <w:bottom w:val="single" w:sz="4" w:space="0" w:color="auto"/>
              <w:right w:val="nil"/>
            </w:tcBorders>
            <w:shd w:val="clear" w:color="auto" w:fill="auto"/>
            <w:noWrap/>
            <w:vAlign w:val="bottom"/>
            <w:hideMark/>
          </w:tcPr>
          <w:p w14:paraId="49230804" w14:textId="77777777" w:rsidR="007166D2" w:rsidRPr="007166D2" w:rsidRDefault="007166D2" w:rsidP="007166D2">
            <w:pPr>
              <w:jc w:val="center"/>
              <w:rPr>
                <w:b/>
                <w:bCs/>
                <w:color w:val="000000"/>
                <w:sz w:val="20"/>
                <w:szCs w:val="20"/>
                <w:lang w:val="en-CA" w:eastAsia="en-CA"/>
              </w:rPr>
            </w:pPr>
            <w:r w:rsidRPr="007166D2">
              <w:rPr>
                <w:b/>
                <w:bCs/>
                <w:color w:val="000000"/>
                <w:sz w:val="20"/>
                <w:szCs w:val="20"/>
                <w:lang w:val="en-CA" w:eastAsia="en-CA"/>
              </w:rPr>
              <w:t>2018-19</w:t>
            </w:r>
          </w:p>
        </w:tc>
        <w:tc>
          <w:tcPr>
            <w:tcW w:w="1098" w:type="dxa"/>
            <w:tcBorders>
              <w:top w:val="nil"/>
              <w:left w:val="nil"/>
              <w:bottom w:val="single" w:sz="4" w:space="0" w:color="auto"/>
              <w:right w:val="nil"/>
            </w:tcBorders>
            <w:shd w:val="clear" w:color="auto" w:fill="auto"/>
            <w:noWrap/>
            <w:vAlign w:val="bottom"/>
            <w:hideMark/>
          </w:tcPr>
          <w:p w14:paraId="5FF7555F" w14:textId="77777777" w:rsidR="007166D2" w:rsidRPr="007166D2" w:rsidRDefault="007166D2" w:rsidP="007166D2">
            <w:pPr>
              <w:jc w:val="center"/>
              <w:rPr>
                <w:color w:val="000000"/>
                <w:sz w:val="20"/>
                <w:szCs w:val="20"/>
                <w:lang w:val="en-CA" w:eastAsia="en-CA"/>
              </w:rPr>
            </w:pPr>
            <w:r w:rsidRPr="007166D2">
              <w:rPr>
                <w:color w:val="000000"/>
                <w:sz w:val="20"/>
                <w:szCs w:val="20"/>
                <w:lang w:val="en-CA" w:eastAsia="en-CA"/>
              </w:rPr>
              <w:t>Amount</w:t>
            </w:r>
          </w:p>
        </w:tc>
      </w:tr>
      <w:tr w:rsidR="007166D2" w:rsidRPr="007166D2" w14:paraId="4B0A8C90" w14:textId="77777777" w:rsidTr="007166D2">
        <w:trPr>
          <w:trHeight w:val="255"/>
        </w:trPr>
        <w:tc>
          <w:tcPr>
            <w:tcW w:w="3450" w:type="dxa"/>
            <w:tcBorders>
              <w:top w:val="nil"/>
              <w:left w:val="nil"/>
              <w:bottom w:val="nil"/>
              <w:right w:val="nil"/>
            </w:tcBorders>
            <w:shd w:val="clear" w:color="auto" w:fill="auto"/>
            <w:noWrap/>
            <w:vAlign w:val="bottom"/>
            <w:hideMark/>
          </w:tcPr>
          <w:p w14:paraId="59ABEC66" w14:textId="77777777" w:rsidR="007166D2" w:rsidRPr="007166D2" w:rsidRDefault="007166D2" w:rsidP="007166D2">
            <w:pPr>
              <w:jc w:val="center"/>
              <w:rPr>
                <w:color w:val="000000"/>
                <w:sz w:val="20"/>
                <w:szCs w:val="20"/>
                <w:lang w:val="en-CA" w:eastAsia="en-CA"/>
              </w:rPr>
            </w:pPr>
          </w:p>
        </w:tc>
        <w:tc>
          <w:tcPr>
            <w:tcW w:w="1152" w:type="dxa"/>
            <w:tcBorders>
              <w:top w:val="nil"/>
              <w:left w:val="nil"/>
              <w:bottom w:val="single" w:sz="4" w:space="0" w:color="auto"/>
              <w:right w:val="nil"/>
            </w:tcBorders>
            <w:shd w:val="clear" w:color="auto" w:fill="auto"/>
            <w:noWrap/>
            <w:vAlign w:val="bottom"/>
            <w:hideMark/>
          </w:tcPr>
          <w:p w14:paraId="3398DC0C" w14:textId="77777777" w:rsidR="007166D2" w:rsidRPr="007166D2" w:rsidRDefault="007166D2" w:rsidP="007166D2">
            <w:pPr>
              <w:jc w:val="center"/>
              <w:rPr>
                <w:b/>
                <w:bCs/>
                <w:color w:val="000000"/>
                <w:sz w:val="20"/>
                <w:szCs w:val="20"/>
                <w:lang w:val="en-CA" w:eastAsia="en-CA"/>
              </w:rPr>
            </w:pPr>
            <w:r w:rsidRPr="007166D2">
              <w:rPr>
                <w:b/>
                <w:bCs/>
                <w:color w:val="000000"/>
                <w:sz w:val="20"/>
                <w:szCs w:val="20"/>
                <w:lang w:val="en-CA" w:eastAsia="en-CA"/>
              </w:rPr>
              <w:t>YTD</w:t>
            </w:r>
          </w:p>
        </w:tc>
        <w:tc>
          <w:tcPr>
            <w:tcW w:w="1152" w:type="dxa"/>
            <w:tcBorders>
              <w:top w:val="nil"/>
              <w:left w:val="nil"/>
              <w:bottom w:val="single" w:sz="4" w:space="0" w:color="auto"/>
              <w:right w:val="nil"/>
            </w:tcBorders>
            <w:shd w:val="clear" w:color="auto" w:fill="auto"/>
            <w:noWrap/>
            <w:vAlign w:val="bottom"/>
            <w:hideMark/>
          </w:tcPr>
          <w:p w14:paraId="0A3E8DC8" w14:textId="77777777" w:rsidR="007166D2" w:rsidRPr="007166D2" w:rsidRDefault="007166D2" w:rsidP="007166D2">
            <w:pPr>
              <w:jc w:val="center"/>
              <w:rPr>
                <w:color w:val="000000"/>
                <w:sz w:val="20"/>
                <w:szCs w:val="20"/>
                <w:lang w:val="en-CA" w:eastAsia="en-CA"/>
              </w:rPr>
            </w:pPr>
            <w:r w:rsidRPr="007166D2">
              <w:rPr>
                <w:color w:val="000000"/>
                <w:sz w:val="20"/>
                <w:szCs w:val="20"/>
                <w:lang w:val="en-CA" w:eastAsia="en-CA"/>
              </w:rPr>
              <w:t>YTD</w:t>
            </w:r>
          </w:p>
        </w:tc>
        <w:tc>
          <w:tcPr>
            <w:tcW w:w="1294" w:type="dxa"/>
            <w:tcBorders>
              <w:top w:val="nil"/>
              <w:left w:val="nil"/>
              <w:bottom w:val="single" w:sz="4" w:space="0" w:color="auto"/>
              <w:right w:val="nil"/>
            </w:tcBorders>
            <w:shd w:val="clear" w:color="auto" w:fill="auto"/>
            <w:noWrap/>
            <w:vAlign w:val="bottom"/>
            <w:hideMark/>
          </w:tcPr>
          <w:p w14:paraId="1CD1E7D5" w14:textId="77777777" w:rsidR="007166D2" w:rsidRPr="007166D2" w:rsidRDefault="007166D2" w:rsidP="007166D2">
            <w:pPr>
              <w:jc w:val="center"/>
              <w:rPr>
                <w:color w:val="000000"/>
                <w:sz w:val="20"/>
                <w:szCs w:val="20"/>
                <w:lang w:val="en-CA" w:eastAsia="en-CA"/>
              </w:rPr>
            </w:pPr>
            <w:r w:rsidRPr="007166D2">
              <w:rPr>
                <w:color w:val="000000"/>
                <w:sz w:val="20"/>
                <w:szCs w:val="20"/>
                <w:lang w:val="en-CA" w:eastAsia="en-CA"/>
              </w:rPr>
              <w:t>YE</w:t>
            </w:r>
          </w:p>
        </w:tc>
        <w:tc>
          <w:tcPr>
            <w:tcW w:w="1294" w:type="dxa"/>
            <w:tcBorders>
              <w:top w:val="nil"/>
              <w:left w:val="nil"/>
              <w:bottom w:val="single" w:sz="4" w:space="0" w:color="auto"/>
              <w:right w:val="nil"/>
            </w:tcBorders>
            <w:shd w:val="clear" w:color="auto" w:fill="auto"/>
            <w:noWrap/>
            <w:vAlign w:val="bottom"/>
            <w:hideMark/>
          </w:tcPr>
          <w:p w14:paraId="3BB7965E" w14:textId="77777777" w:rsidR="007166D2" w:rsidRPr="007166D2" w:rsidRDefault="007166D2" w:rsidP="007166D2">
            <w:pPr>
              <w:jc w:val="center"/>
              <w:rPr>
                <w:b/>
                <w:bCs/>
                <w:color w:val="000000"/>
                <w:sz w:val="20"/>
                <w:szCs w:val="20"/>
                <w:lang w:val="en-CA" w:eastAsia="en-CA"/>
              </w:rPr>
            </w:pPr>
            <w:r w:rsidRPr="007166D2">
              <w:rPr>
                <w:b/>
                <w:bCs/>
                <w:color w:val="000000"/>
                <w:sz w:val="20"/>
                <w:szCs w:val="20"/>
                <w:lang w:val="en-CA" w:eastAsia="en-CA"/>
              </w:rPr>
              <w:t>Budget</w:t>
            </w:r>
          </w:p>
        </w:tc>
        <w:tc>
          <w:tcPr>
            <w:tcW w:w="1098" w:type="dxa"/>
            <w:tcBorders>
              <w:top w:val="nil"/>
              <w:left w:val="nil"/>
              <w:bottom w:val="single" w:sz="4" w:space="0" w:color="auto"/>
              <w:right w:val="nil"/>
            </w:tcBorders>
            <w:shd w:val="clear" w:color="auto" w:fill="auto"/>
            <w:noWrap/>
            <w:vAlign w:val="bottom"/>
            <w:hideMark/>
          </w:tcPr>
          <w:p w14:paraId="0D1072A3" w14:textId="77777777" w:rsidR="007166D2" w:rsidRPr="007166D2" w:rsidRDefault="007166D2" w:rsidP="007166D2">
            <w:pPr>
              <w:jc w:val="center"/>
              <w:rPr>
                <w:color w:val="000000"/>
                <w:sz w:val="20"/>
                <w:szCs w:val="20"/>
                <w:lang w:val="en-CA" w:eastAsia="en-CA"/>
              </w:rPr>
            </w:pPr>
            <w:r w:rsidRPr="007166D2">
              <w:rPr>
                <w:color w:val="000000"/>
                <w:sz w:val="20"/>
                <w:szCs w:val="20"/>
                <w:lang w:val="en-CA" w:eastAsia="en-CA"/>
              </w:rPr>
              <w:t>Used %</w:t>
            </w:r>
          </w:p>
        </w:tc>
      </w:tr>
      <w:tr w:rsidR="007166D2" w:rsidRPr="007166D2" w14:paraId="32709286" w14:textId="77777777" w:rsidTr="007166D2">
        <w:trPr>
          <w:trHeight w:val="255"/>
        </w:trPr>
        <w:tc>
          <w:tcPr>
            <w:tcW w:w="3450" w:type="dxa"/>
            <w:tcBorders>
              <w:top w:val="nil"/>
              <w:left w:val="nil"/>
              <w:bottom w:val="nil"/>
              <w:right w:val="nil"/>
            </w:tcBorders>
            <w:shd w:val="clear" w:color="auto" w:fill="auto"/>
            <w:noWrap/>
            <w:vAlign w:val="bottom"/>
            <w:hideMark/>
          </w:tcPr>
          <w:p w14:paraId="6EBF56BD" w14:textId="77777777" w:rsidR="007166D2" w:rsidRPr="007166D2" w:rsidRDefault="007166D2" w:rsidP="007166D2">
            <w:pPr>
              <w:jc w:val="center"/>
              <w:rPr>
                <w:color w:val="000000"/>
                <w:sz w:val="20"/>
                <w:szCs w:val="20"/>
                <w:lang w:val="en-CA" w:eastAsia="en-CA"/>
              </w:rPr>
            </w:pPr>
          </w:p>
        </w:tc>
        <w:tc>
          <w:tcPr>
            <w:tcW w:w="1152" w:type="dxa"/>
            <w:tcBorders>
              <w:top w:val="nil"/>
              <w:left w:val="nil"/>
              <w:bottom w:val="nil"/>
              <w:right w:val="nil"/>
            </w:tcBorders>
            <w:shd w:val="clear" w:color="auto" w:fill="auto"/>
            <w:noWrap/>
            <w:vAlign w:val="bottom"/>
            <w:hideMark/>
          </w:tcPr>
          <w:p w14:paraId="3D6F761D" w14:textId="77777777" w:rsidR="007166D2" w:rsidRPr="007166D2" w:rsidRDefault="007166D2" w:rsidP="007166D2">
            <w:pPr>
              <w:rPr>
                <w:sz w:val="20"/>
                <w:szCs w:val="20"/>
                <w:lang w:val="en-CA" w:eastAsia="en-CA"/>
              </w:rPr>
            </w:pPr>
          </w:p>
        </w:tc>
        <w:tc>
          <w:tcPr>
            <w:tcW w:w="1152" w:type="dxa"/>
            <w:tcBorders>
              <w:top w:val="nil"/>
              <w:left w:val="nil"/>
              <w:bottom w:val="nil"/>
              <w:right w:val="nil"/>
            </w:tcBorders>
            <w:shd w:val="clear" w:color="auto" w:fill="auto"/>
            <w:noWrap/>
            <w:vAlign w:val="bottom"/>
            <w:hideMark/>
          </w:tcPr>
          <w:p w14:paraId="78130E46" w14:textId="77777777" w:rsidR="007166D2" w:rsidRPr="007166D2" w:rsidRDefault="007166D2" w:rsidP="007166D2">
            <w:pPr>
              <w:rPr>
                <w:sz w:val="20"/>
                <w:szCs w:val="20"/>
                <w:lang w:val="en-CA" w:eastAsia="en-CA"/>
              </w:rPr>
            </w:pPr>
          </w:p>
        </w:tc>
        <w:tc>
          <w:tcPr>
            <w:tcW w:w="1294" w:type="dxa"/>
            <w:tcBorders>
              <w:top w:val="nil"/>
              <w:left w:val="nil"/>
              <w:bottom w:val="nil"/>
              <w:right w:val="nil"/>
            </w:tcBorders>
            <w:shd w:val="clear" w:color="auto" w:fill="auto"/>
            <w:noWrap/>
            <w:vAlign w:val="bottom"/>
            <w:hideMark/>
          </w:tcPr>
          <w:p w14:paraId="0E17882C" w14:textId="77777777" w:rsidR="007166D2" w:rsidRPr="007166D2" w:rsidRDefault="007166D2" w:rsidP="007166D2">
            <w:pPr>
              <w:rPr>
                <w:sz w:val="20"/>
                <w:szCs w:val="20"/>
                <w:lang w:val="en-CA" w:eastAsia="en-CA"/>
              </w:rPr>
            </w:pPr>
          </w:p>
        </w:tc>
        <w:tc>
          <w:tcPr>
            <w:tcW w:w="1294" w:type="dxa"/>
            <w:tcBorders>
              <w:top w:val="nil"/>
              <w:left w:val="nil"/>
              <w:bottom w:val="nil"/>
              <w:right w:val="nil"/>
            </w:tcBorders>
            <w:shd w:val="clear" w:color="auto" w:fill="auto"/>
            <w:noWrap/>
            <w:vAlign w:val="bottom"/>
            <w:hideMark/>
          </w:tcPr>
          <w:p w14:paraId="37CFB376" w14:textId="77777777" w:rsidR="007166D2" w:rsidRPr="007166D2" w:rsidRDefault="007166D2" w:rsidP="007166D2">
            <w:pPr>
              <w:rPr>
                <w:sz w:val="20"/>
                <w:szCs w:val="20"/>
                <w:lang w:val="en-CA" w:eastAsia="en-CA"/>
              </w:rPr>
            </w:pPr>
          </w:p>
        </w:tc>
        <w:tc>
          <w:tcPr>
            <w:tcW w:w="1098" w:type="dxa"/>
            <w:tcBorders>
              <w:top w:val="nil"/>
              <w:left w:val="nil"/>
              <w:bottom w:val="nil"/>
              <w:right w:val="nil"/>
            </w:tcBorders>
            <w:shd w:val="clear" w:color="auto" w:fill="auto"/>
            <w:noWrap/>
            <w:vAlign w:val="bottom"/>
            <w:hideMark/>
          </w:tcPr>
          <w:p w14:paraId="3624878A" w14:textId="77777777" w:rsidR="007166D2" w:rsidRPr="007166D2" w:rsidRDefault="007166D2" w:rsidP="007166D2">
            <w:pPr>
              <w:rPr>
                <w:sz w:val="20"/>
                <w:szCs w:val="20"/>
                <w:lang w:val="en-CA" w:eastAsia="en-CA"/>
              </w:rPr>
            </w:pPr>
          </w:p>
        </w:tc>
      </w:tr>
      <w:tr w:rsidR="007166D2" w:rsidRPr="007166D2" w14:paraId="5DFAE1D8" w14:textId="77777777" w:rsidTr="007166D2">
        <w:trPr>
          <w:trHeight w:val="255"/>
        </w:trPr>
        <w:tc>
          <w:tcPr>
            <w:tcW w:w="3450" w:type="dxa"/>
            <w:tcBorders>
              <w:top w:val="nil"/>
              <w:left w:val="nil"/>
              <w:bottom w:val="nil"/>
              <w:right w:val="nil"/>
            </w:tcBorders>
            <w:shd w:val="clear" w:color="auto" w:fill="auto"/>
            <w:noWrap/>
            <w:vAlign w:val="bottom"/>
            <w:hideMark/>
          </w:tcPr>
          <w:p w14:paraId="23B1ECE8" w14:textId="77777777" w:rsidR="007166D2" w:rsidRPr="007166D2" w:rsidRDefault="007166D2" w:rsidP="007166D2">
            <w:pPr>
              <w:rPr>
                <w:sz w:val="20"/>
                <w:szCs w:val="20"/>
                <w:lang w:val="en-CA" w:eastAsia="en-CA"/>
              </w:rPr>
            </w:pPr>
          </w:p>
        </w:tc>
        <w:tc>
          <w:tcPr>
            <w:tcW w:w="1152" w:type="dxa"/>
            <w:tcBorders>
              <w:top w:val="nil"/>
              <w:left w:val="nil"/>
              <w:bottom w:val="nil"/>
              <w:right w:val="nil"/>
            </w:tcBorders>
            <w:shd w:val="clear" w:color="auto" w:fill="auto"/>
            <w:noWrap/>
            <w:vAlign w:val="bottom"/>
            <w:hideMark/>
          </w:tcPr>
          <w:p w14:paraId="7BDA4C08" w14:textId="77777777" w:rsidR="007166D2" w:rsidRPr="007166D2" w:rsidRDefault="007166D2" w:rsidP="007166D2">
            <w:pPr>
              <w:rPr>
                <w:sz w:val="20"/>
                <w:szCs w:val="20"/>
                <w:lang w:val="en-CA" w:eastAsia="en-CA"/>
              </w:rPr>
            </w:pPr>
          </w:p>
        </w:tc>
        <w:tc>
          <w:tcPr>
            <w:tcW w:w="1152" w:type="dxa"/>
            <w:tcBorders>
              <w:top w:val="nil"/>
              <w:left w:val="nil"/>
              <w:bottom w:val="nil"/>
              <w:right w:val="nil"/>
            </w:tcBorders>
            <w:shd w:val="clear" w:color="auto" w:fill="auto"/>
            <w:noWrap/>
            <w:vAlign w:val="bottom"/>
            <w:hideMark/>
          </w:tcPr>
          <w:p w14:paraId="00A3C140" w14:textId="77777777" w:rsidR="007166D2" w:rsidRPr="007166D2" w:rsidRDefault="007166D2" w:rsidP="007166D2">
            <w:pPr>
              <w:rPr>
                <w:sz w:val="20"/>
                <w:szCs w:val="20"/>
                <w:lang w:val="en-CA" w:eastAsia="en-CA"/>
              </w:rPr>
            </w:pPr>
          </w:p>
        </w:tc>
        <w:tc>
          <w:tcPr>
            <w:tcW w:w="1294" w:type="dxa"/>
            <w:tcBorders>
              <w:top w:val="nil"/>
              <w:left w:val="nil"/>
              <w:bottom w:val="nil"/>
              <w:right w:val="nil"/>
            </w:tcBorders>
            <w:shd w:val="clear" w:color="auto" w:fill="auto"/>
            <w:noWrap/>
            <w:vAlign w:val="bottom"/>
            <w:hideMark/>
          </w:tcPr>
          <w:p w14:paraId="25396EEC" w14:textId="77777777" w:rsidR="007166D2" w:rsidRPr="007166D2" w:rsidRDefault="007166D2" w:rsidP="007166D2">
            <w:pPr>
              <w:rPr>
                <w:sz w:val="20"/>
                <w:szCs w:val="20"/>
                <w:lang w:val="en-CA" w:eastAsia="en-CA"/>
              </w:rPr>
            </w:pPr>
          </w:p>
        </w:tc>
        <w:tc>
          <w:tcPr>
            <w:tcW w:w="1294" w:type="dxa"/>
            <w:tcBorders>
              <w:top w:val="nil"/>
              <w:left w:val="nil"/>
              <w:bottom w:val="nil"/>
              <w:right w:val="nil"/>
            </w:tcBorders>
            <w:shd w:val="clear" w:color="auto" w:fill="auto"/>
            <w:noWrap/>
            <w:vAlign w:val="bottom"/>
            <w:hideMark/>
          </w:tcPr>
          <w:p w14:paraId="27610FD4" w14:textId="77777777" w:rsidR="007166D2" w:rsidRPr="007166D2" w:rsidRDefault="007166D2" w:rsidP="007166D2">
            <w:pPr>
              <w:rPr>
                <w:sz w:val="20"/>
                <w:szCs w:val="20"/>
                <w:lang w:val="en-CA" w:eastAsia="en-CA"/>
              </w:rPr>
            </w:pPr>
          </w:p>
        </w:tc>
        <w:tc>
          <w:tcPr>
            <w:tcW w:w="1098" w:type="dxa"/>
            <w:tcBorders>
              <w:top w:val="nil"/>
              <w:left w:val="nil"/>
              <w:bottom w:val="nil"/>
              <w:right w:val="nil"/>
            </w:tcBorders>
            <w:shd w:val="clear" w:color="auto" w:fill="auto"/>
            <w:noWrap/>
            <w:vAlign w:val="bottom"/>
            <w:hideMark/>
          </w:tcPr>
          <w:p w14:paraId="51A910EB" w14:textId="77777777" w:rsidR="007166D2" w:rsidRPr="007166D2" w:rsidRDefault="007166D2" w:rsidP="007166D2">
            <w:pPr>
              <w:rPr>
                <w:sz w:val="20"/>
                <w:szCs w:val="20"/>
                <w:lang w:val="en-CA" w:eastAsia="en-CA"/>
              </w:rPr>
            </w:pPr>
          </w:p>
        </w:tc>
      </w:tr>
      <w:tr w:rsidR="007166D2" w:rsidRPr="007166D2" w14:paraId="1FACD9C2" w14:textId="77777777" w:rsidTr="007166D2">
        <w:trPr>
          <w:trHeight w:val="255"/>
        </w:trPr>
        <w:tc>
          <w:tcPr>
            <w:tcW w:w="3450" w:type="dxa"/>
            <w:tcBorders>
              <w:top w:val="nil"/>
              <w:left w:val="nil"/>
              <w:bottom w:val="nil"/>
              <w:right w:val="nil"/>
            </w:tcBorders>
            <w:shd w:val="clear" w:color="auto" w:fill="auto"/>
            <w:noWrap/>
            <w:vAlign w:val="bottom"/>
            <w:hideMark/>
          </w:tcPr>
          <w:p w14:paraId="7CB71526" w14:textId="77777777" w:rsidR="007166D2" w:rsidRPr="007166D2" w:rsidRDefault="007166D2" w:rsidP="007166D2">
            <w:pPr>
              <w:rPr>
                <w:sz w:val="20"/>
                <w:szCs w:val="20"/>
                <w:lang w:val="en-CA" w:eastAsia="en-CA"/>
              </w:rPr>
            </w:pPr>
            <w:r w:rsidRPr="007166D2">
              <w:rPr>
                <w:sz w:val="20"/>
                <w:szCs w:val="20"/>
                <w:lang w:val="en-CA" w:eastAsia="en-CA"/>
              </w:rPr>
              <w:t xml:space="preserve">All: </w:t>
            </w:r>
          </w:p>
        </w:tc>
        <w:tc>
          <w:tcPr>
            <w:tcW w:w="1152" w:type="dxa"/>
            <w:tcBorders>
              <w:top w:val="nil"/>
              <w:left w:val="nil"/>
              <w:bottom w:val="nil"/>
              <w:right w:val="nil"/>
            </w:tcBorders>
            <w:shd w:val="clear" w:color="auto" w:fill="auto"/>
            <w:noWrap/>
            <w:vAlign w:val="bottom"/>
            <w:hideMark/>
          </w:tcPr>
          <w:p w14:paraId="16B35269" w14:textId="77777777" w:rsidR="007166D2" w:rsidRPr="007166D2" w:rsidRDefault="007166D2" w:rsidP="007166D2">
            <w:pPr>
              <w:rPr>
                <w:sz w:val="20"/>
                <w:szCs w:val="20"/>
                <w:lang w:val="en-CA" w:eastAsia="en-CA"/>
              </w:rPr>
            </w:pPr>
          </w:p>
        </w:tc>
        <w:tc>
          <w:tcPr>
            <w:tcW w:w="1152" w:type="dxa"/>
            <w:tcBorders>
              <w:top w:val="nil"/>
              <w:left w:val="nil"/>
              <w:bottom w:val="nil"/>
              <w:right w:val="nil"/>
            </w:tcBorders>
            <w:shd w:val="clear" w:color="auto" w:fill="auto"/>
            <w:noWrap/>
            <w:vAlign w:val="bottom"/>
            <w:hideMark/>
          </w:tcPr>
          <w:p w14:paraId="786D4681" w14:textId="77777777" w:rsidR="007166D2" w:rsidRPr="007166D2" w:rsidRDefault="007166D2" w:rsidP="007166D2">
            <w:pPr>
              <w:rPr>
                <w:sz w:val="20"/>
                <w:szCs w:val="20"/>
                <w:lang w:val="en-CA" w:eastAsia="en-CA"/>
              </w:rPr>
            </w:pPr>
          </w:p>
        </w:tc>
        <w:tc>
          <w:tcPr>
            <w:tcW w:w="1294" w:type="dxa"/>
            <w:tcBorders>
              <w:top w:val="nil"/>
              <w:left w:val="nil"/>
              <w:bottom w:val="nil"/>
              <w:right w:val="nil"/>
            </w:tcBorders>
            <w:shd w:val="clear" w:color="auto" w:fill="auto"/>
            <w:noWrap/>
            <w:vAlign w:val="bottom"/>
            <w:hideMark/>
          </w:tcPr>
          <w:p w14:paraId="1336C431" w14:textId="77777777" w:rsidR="007166D2" w:rsidRPr="007166D2" w:rsidRDefault="007166D2" w:rsidP="007166D2">
            <w:pPr>
              <w:rPr>
                <w:sz w:val="20"/>
                <w:szCs w:val="20"/>
                <w:lang w:val="en-CA" w:eastAsia="en-CA"/>
              </w:rPr>
            </w:pPr>
          </w:p>
        </w:tc>
        <w:tc>
          <w:tcPr>
            <w:tcW w:w="1294" w:type="dxa"/>
            <w:tcBorders>
              <w:top w:val="nil"/>
              <w:left w:val="nil"/>
              <w:bottom w:val="nil"/>
              <w:right w:val="nil"/>
            </w:tcBorders>
            <w:shd w:val="clear" w:color="auto" w:fill="auto"/>
            <w:noWrap/>
            <w:vAlign w:val="bottom"/>
            <w:hideMark/>
          </w:tcPr>
          <w:p w14:paraId="3711530F" w14:textId="77777777" w:rsidR="007166D2" w:rsidRPr="007166D2" w:rsidRDefault="007166D2" w:rsidP="007166D2">
            <w:pPr>
              <w:rPr>
                <w:sz w:val="20"/>
                <w:szCs w:val="20"/>
                <w:lang w:val="en-CA" w:eastAsia="en-CA"/>
              </w:rPr>
            </w:pPr>
          </w:p>
        </w:tc>
        <w:tc>
          <w:tcPr>
            <w:tcW w:w="1098" w:type="dxa"/>
            <w:tcBorders>
              <w:top w:val="nil"/>
              <w:left w:val="nil"/>
              <w:bottom w:val="nil"/>
              <w:right w:val="nil"/>
            </w:tcBorders>
            <w:shd w:val="clear" w:color="auto" w:fill="auto"/>
            <w:noWrap/>
            <w:vAlign w:val="bottom"/>
            <w:hideMark/>
          </w:tcPr>
          <w:p w14:paraId="2EAC3653" w14:textId="77777777" w:rsidR="007166D2" w:rsidRPr="007166D2" w:rsidRDefault="007166D2" w:rsidP="007166D2">
            <w:pPr>
              <w:rPr>
                <w:sz w:val="20"/>
                <w:szCs w:val="20"/>
                <w:lang w:val="en-CA" w:eastAsia="en-CA"/>
              </w:rPr>
            </w:pPr>
          </w:p>
        </w:tc>
      </w:tr>
      <w:tr w:rsidR="007166D2" w:rsidRPr="007166D2" w14:paraId="46143FDA" w14:textId="77777777" w:rsidTr="007166D2">
        <w:trPr>
          <w:trHeight w:val="255"/>
        </w:trPr>
        <w:tc>
          <w:tcPr>
            <w:tcW w:w="3450" w:type="dxa"/>
            <w:tcBorders>
              <w:top w:val="nil"/>
              <w:left w:val="nil"/>
              <w:bottom w:val="nil"/>
              <w:right w:val="nil"/>
            </w:tcBorders>
            <w:shd w:val="clear" w:color="auto" w:fill="auto"/>
            <w:noWrap/>
            <w:vAlign w:val="bottom"/>
            <w:hideMark/>
          </w:tcPr>
          <w:p w14:paraId="452AA584" w14:textId="77777777" w:rsidR="007166D2" w:rsidRPr="007166D2" w:rsidRDefault="007166D2" w:rsidP="007166D2">
            <w:pPr>
              <w:rPr>
                <w:sz w:val="20"/>
                <w:szCs w:val="20"/>
                <w:lang w:val="en-CA" w:eastAsia="en-CA"/>
              </w:rPr>
            </w:pPr>
            <w:r w:rsidRPr="007166D2">
              <w:rPr>
                <w:sz w:val="20"/>
                <w:szCs w:val="20"/>
                <w:lang w:val="en-CA" w:eastAsia="en-CA"/>
              </w:rPr>
              <w:t xml:space="preserve">  Administration &amp; ICT</w:t>
            </w:r>
          </w:p>
        </w:tc>
        <w:tc>
          <w:tcPr>
            <w:tcW w:w="1152" w:type="dxa"/>
            <w:tcBorders>
              <w:top w:val="nil"/>
              <w:left w:val="nil"/>
              <w:bottom w:val="nil"/>
              <w:right w:val="nil"/>
            </w:tcBorders>
            <w:shd w:val="clear" w:color="auto" w:fill="auto"/>
            <w:noWrap/>
            <w:vAlign w:val="bottom"/>
            <w:hideMark/>
          </w:tcPr>
          <w:p w14:paraId="101CA215"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(180,859.40)</w:t>
            </w:r>
          </w:p>
        </w:tc>
        <w:tc>
          <w:tcPr>
            <w:tcW w:w="1152" w:type="dxa"/>
            <w:tcBorders>
              <w:top w:val="nil"/>
              <w:left w:val="nil"/>
              <w:bottom w:val="nil"/>
              <w:right w:val="nil"/>
            </w:tcBorders>
            <w:shd w:val="clear" w:color="auto" w:fill="auto"/>
            <w:noWrap/>
            <w:vAlign w:val="bottom"/>
            <w:hideMark/>
          </w:tcPr>
          <w:p w14:paraId="3582AD09"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(212,608.72)</w:t>
            </w:r>
          </w:p>
        </w:tc>
        <w:tc>
          <w:tcPr>
            <w:tcW w:w="1294" w:type="dxa"/>
            <w:tcBorders>
              <w:top w:val="nil"/>
              <w:left w:val="nil"/>
              <w:bottom w:val="nil"/>
              <w:right w:val="nil"/>
            </w:tcBorders>
            <w:shd w:val="clear" w:color="auto" w:fill="auto"/>
            <w:noWrap/>
            <w:vAlign w:val="bottom"/>
            <w:hideMark/>
          </w:tcPr>
          <w:p w14:paraId="71350EF4"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(1,932,266.64)</w:t>
            </w:r>
          </w:p>
        </w:tc>
        <w:tc>
          <w:tcPr>
            <w:tcW w:w="1294" w:type="dxa"/>
            <w:tcBorders>
              <w:top w:val="nil"/>
              <w:left w:val="nil"/>
              <w:bottom w:val="nil"/>
              <w:right w:val="nil"/>
            </w:tcBorders>
            <w:shd w:val="clear" w:color="auto" w:fill="auto"/>
            <w:noWrap/>
            <w:vAlign w:val="bottom"/>
            <w:hideMark/>
          </w:tcPr>
          <w:p w14:paraId="1B8B9AEF"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(2,093,340.00)</w:t>
            </w:r>
          </w:p>
        </w:tc>
        <w:tc>
          <w:tcPr>
            <w:tcW w:w="1098" w:type="dxa"/>
            <w:tcBorders>
              <w:top w:val="nil"/>
              <w:left w:val="nil"/>
              <w:bottom w:val="nil"/>
              <w:right w:val="nil"/>
            </w:tcBorders>
            <w:shd w:val="clear" w:color="auto" w:fill="auto"/>
            <w:noWrap/>
            <w:vAlign w:val="bottom"/>
            <w:hideMark/>
          </w:tcPr>
          <w:p w14:paraId="55C372B4"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8.64%</w:t>
            </w:r>
          </w:p>
        </w:tc>
      </w:tr>
      <w:tr w:rsidR="007166D2" w:rsidRPr="007166D2" w14:paraId="2C230C8E" w14:textId="77777777" w:rsidTr="007166D2">
        <w:trPr>
          <w:trHeight w:val="255"/>
        </w:trPr>
        <w:tc>
          <w:tcPr>
            <w:tcW w:w="3450" w:type="dxa"/>
            <w:tcBorders>
              <w:top w:val="nil"/>
              <w:left w:val="nil"/>
              <w:bottom w:val="nil"/>
              <w:right w:val="nil"/>
            </w:tcBorders>
            <w:shd w:val="clear" w:color="auto" w:fill="auto"/>
            <w:noWrap/>
            <w:vAlign w:val="bottom"/>
            <w:hideMark/>
          </w:tcPr>
          <w:p w14:paraId="11E26D95" w14:textId="77777777" w:rsidR="007166D2" w:rsidRPr="007166D2" w:rsidRDefault="007166D2" w:rsidP="007166D2">
            <w:pPr>
              <w:rPr>
                <w:sz w:val="20"/>
                <w:szCs w:val="20"/>
                <w:lang w:val="en-CA" w:eastAsia="en-CA"/>
              </w:rPr>
            </w:pPr>
            <w:r w:rsidRPr="007166D2">
              <w:rPr>
                <w:sz w:val="20"/>
                <w:szCs w:val="20"/>
                <w:lang w:val="en-CA" w:eastAsia="en-CA"/>
              </w:rPr>
              <w:t xml:space="preserve">  Business Units - All</w:t>
            </w:r>
          </w:p>
        </w:tc>
        <w:tc>
          <w:tcPr>
            <w:tcW w:w="1152" w:type="dxa"/>
            <w:tcBorders>
              <w:top w:val="nil"/>
              <w:left w:val="nil"/>
              <w:bottom w:val="nil"/>
              <w:right w:val="nil"/>
            </w:tcBorders>
            <w:shd w:val="clear" w:color="auto" w:fill="auto"/>
            <w:noWrap/>
            <w:vAlign w:val="bottom"/>
            <w:hideMark/>
          </w:tcPr>
          <w:p w14:paraId="3692A95F"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41,873.53</w:t>
            </w:r>
          </w:p>
        </w:tc>
        <w:tc>
          <w:tcPr>
            <w:tcW w:w="1152" w:type="dxa"/>
            <w:tcBorders>
              <w:top w:val="nil"/>
              <w:left w:val="nil"/>
              <w:bottom w:val="nil"/>
              <w:right w:val="nil"/>
            </w:tcBorders>
            <w:shd w:val="clear" w:color="auto" w:fill="auto"/>
            <w:noWrap/>
            <w:vAlign w:val="bottom"/>
            <w:hideMark/>
          </w:tcPr>
          <w:p w14:paraId="33787CDA"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65,775.94</w:t>
            </w:r>
          </w:p>
        </w:tc>
        <w:tc>
          <w:tcPr>
            <w:tcW w:w="1294" w:type="dxa"/>
            <w:tcBorders>
              <w:top w:val="nil"/>
              <w:left w:val="nil"/>
              <w:bottom w:val="nil"/>
              <w:right w:val="nil"/>
            </w:tcBorders>
            <w:shd w:val="clear" w:color="auto" w:fill="auto"/>
            <w:noWrap/>
            <w:vAlign w:val="bottom"/>
            <w:hideMark/>
          </w:tcPr>
          <w:p w14:paraId="305A7AC8"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230,040.58</w:t>
            </w:r>
          </w:p>
        </w:tc>
        <w:tc>
          <w:tcPr>
            <w:tcW w:w="1294" w:type="dxa"/>
            <w:tcBorders>
              <w:top w:val="nil"/>
              <w:left w:val="nil"/>
              <w:bottom w:val="nil"/>
              <w:right w:val="nil"/>
            </w:tcBorders>
            <w:shd w:val="clear" w:color="auto" w:fill="auto"/>
            <w:noWrap/>
            <w:vAlign w:val="bottom"/>
            <w:hideMark/>
          </w:tcPr>
          <w:p w14:paraId="1A251E5B"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(87,830.00)</w:t>
            </w:r>
          </w:p>
        </w:tc>
        <w:tc>
          <w:tcPr>
            <w:tcW w:w="1098" w:type="dxa"/>
            <w:tcBorders>
              <w:top w:val="nil"/>
              <w:left w:val="nil"/>
              <w:bottom w:val="nil"/>
              <w:right w:val="nil"/>
            </w:tcBorders>
            <w:shd w:val="clear" w:color="auto" w:fill="auto"/>
            <w:noWrap/>
            <w:vAlign w:val="bottom"/>
            <w:hideMark/>
          </w:tcPr>
          <w:p w14:paraId="1D0A386A"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(47.68%)</w:t>
            </w:r>
          </w:p>
        </w:tc>
      </w:tr>
      <w:tr w:rsidR="007166D2" w:rsidRPr="007166D2" w14:paraId="79AB0C23" w14:textId="77777777" w:rsidTr="007166D2">
        <w:trPr>
          <w:trHeight w:val="255"/>
        </w:trPr>
        <w:tc>
          <w:tcPr>
            <w:tcW w:w="3450" w:type="dxa"/>
            <w:tcBorders>
              <w:top w:val="nil"/>
              <w:left w:val="nil"/>
              <w:bottom w:val="nil"/>
              <w:right w:val="nil"/>
            </w:tcBorders>
            <w:shd w:val="clear" w:color="auto" w:fill="auto"/>
            <w:noWrap/>
            <w:vAlign w:val="bottom"/>
            <w:hideMark/>
          </w:tcPr>
          <w:p w14:paraId="57A57974" w14:textId="77777777" w:rsidR="007166D2" w:rsidRPr="007166D2" w:rsidRDefault="007166D2" w:rsidP="007166D2">
            <w:pPr>
              <w:rPr>
                <w:sz w:val="20"/>
                <w:szCs w:val="20"/>
                <w:lang w:val="en-CA" w:eastAsia="en-CA"/>
              </w:rPr>
            </w:pPr>
            <w:r w:rsidRPr="007166D2">
              <w:rPr>
                <w:sz w:val="20"/>
                <w:szCs w:val="20"/>
                <w:lang w:val="en-CA" w:eastAsia="en-CA"/>
              </w:rPr>
              <w:t xml:space="preserve">  Zero Cost Centres - All</w:t>
            </w:r>
          </w:p>
        </w:tc>
        <w:tc>
          <w:tcPr>
            <w:tcW w:w="1152" w:type="dxa"/>
            <w:tcBorders>
              <w:top w:val="nil"/>
              <w:left w:val="nil"/>
              <w:bottom w:val="nil"/>
              <w:right w:val="nil"/>
            </w:tcBorders>
            <w:shd w:val="clear" w:color="auto" w:fill="auto"/>
            <w:noWrap/>
            <w:vAlign w:val="bottom"/>
            <w:hideMark/>
          </w:tcPr>
          <w:p w14:paraId="02313721"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16,586.20</w:t>
            </w:r>
          </w:p>
        </w:tc>
        <w:tc>
          <w:tcPr>
            <w:tcW w:w="1152" w:type="dxa"/>
            <w:tcBorders>
              <w:top w:val="nil"/>
              <w:left w:val="nil"/>
              <w:bottom w:val="nil"/>
              <w:right w:val="nil"/>
            </w:tcBorders>
            <w:shd w:val="clear" w:color="auto" w:fill="auto"/>
            <w:noWrap/>
            <w:vAlign w:val="bottom"/>
            <w:hideMark/>
          </w:tcPr>
          <w:p w14:paraId="351C9440"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(7,429.10)</w:t>
            </w:r>
          </w:p>
        </w:tc>
        <w:tc>
          <w:tcPr>
            <w:tcW w:w="1294" w:type="dxa"/>
            <w:tcBorders>
              <w:top w:val="nil"/>
              <w:left w:val="nil"/>
              <w:bottom w:val="nil"/>
              <w:right w:val="nil"/>
            </w:tcBorders>
            <w:shd w:val="clear" w:color="auto" w:fill="auto"/>
            <w:noWrap/>
            <w:vAlign w:val="bottom"/>
            <w:hideMark/>
          </w:tcPr>
          <w:p w14:paraId="24703BFD"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16,245.90</w:t>
            </w:r>
          </w:p>
        </w:tc>
        <w:tc>
          <w:tcPr>
            <w:tcW w:w="1294" w:type="dxa"/>
            <w:tcBorders>
              <w:top w:val="nil"/>
              <w:left w:val="nil"/>
              <w:bottom w:val="nil"/>
              <w:right w:val="nil"/>
            </w:tcBorders>
            <w:shd w:val="clear" w:color="auto" w:fill="auto"/>
            <w:noWrap/>
            <w:vAlign w:val="bottom"/>
            <w:hideMark/>
          </w:tcPr>
          <w:p w14:paraId="00BA1023"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27,295.00</w:t>
            </w:r>
          </w:p>
        </w:tc>
        <w:tc>
          <w:tcPr>
            <w:tcW w:w="1098" w:type="dxa"/>
            <w:tcBorders>
              <w:top w:val="nil"/>
              <w:left w:val="nil"/>
              <w:bottom w:val="nil"/>
              <w:right w:val="nil"/>
            </w:tcBorders>
            <w:shd w:val="clear" w:color="auto" w:fill="auto"/>
            <w:noWrap/>
            <w:vAlign w:val="bottom"/>
            <w:hideMark/>
          </w:tcPr>
          <w:p w14:paraId="7D09BD2B"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60.77%</w:t>
            </w:r>
          </w:p>
        </w:tc>
      </w:tr>
      <w:tr w:rsidR="007166D2" w:rsidRPr="007166D2" w14:paraId="2CB6B3A3" w14:textId="77777777" w:rsidTr="007166D2">
        <w:trPr>
          <w:trHeight w:val="255"/>
        </w:trPr>
        <w:tc>
          <w:tcPr>
            <w:tcW w:w="3450" w:type="dxa"/>
            <w:tcBorders>
              <w:top w:val="nil"/>
              <w:left w:val="nil"/>
              <w:bottom w:val="nil"/>
              <w:right w:val="nil"/>
            </w:tcBorders>
            <w:shd w:val="clear" w:color="auto" w:fill="auto"/>
            <w:noWrap/>
            <w:vAlign w:val="bottom"/>
            <w:hideMark/>
          </w:tcPr>
          <w:p w14:paraId="31FD874A" w14:textId="77777777" w:rsidR="007166D2" w:rsidRPr="007166D2" w:rsidRDefault="007166D2" w:rsidP="007166D2">
            <w:pPr>
              <w:rPr>
                <w:sz w:val="20"/>
                <w:szCs w:val="20"/>
                <w:lang w:val="en-CA" w:eastAsia="en-CA"/>
              </w:rPr>
            </w:pPr>
            <w:r w:rsidRPr="007166D2">
              <w:rPr>
                <w:sz w:val="20"/>
                <w:szCs w:val="20"/>
                <w:lang w:val="en-CA" w:eastAsia="en-CA"/>
              </w:rPr>
              <w:t xml:space="preserve">  Committees &amp; Services - All</w:t>
            </w:r>
          </w:p>
        </w:tc>
        <w:tc>
          <w:tcPr>
            <w:tcW w:w="1152" w:type="dxa"/>
            <w:tcBorders>
              <w:top w:val="nil"/>
              <w:left w:val="nil"/>
              <w:bottom w:val="nil"/>
              <w:right w:val="nil"/>
            </w:tcBorders>
            <w:shd w:val="clear" w:color="auto" w:fill="auto"/>
            <w:noWrap/>
            <w:vAlign w:val="bottom"/>
            <w:hideMark/>
          </w:tcPr>
          <w:p w14:paraId="663BDD00"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432,734.64</w:t>
            </w:r>
          </w:p>
        </w:tc>
        <w:tc>
          <w:tcPr>
            <w:tcW w:w="1152" w:type="dxa"/>
            <w:tcBorders>
              <w:top w:val="nil"/>
              <w:left w:val="nil"/>
              <w:bottom w:val="nil"/>
              <w:right w:val="nil"/>
            </w:tcBorders>
            <w:shd w:val="clear" w:color="auto" w:fill="auto"/>
            <w:noWrap/>
            <w:vAlign w:val="bottom"/>
            <w:hideMark/>
          </w:tcPr>
          <w:p w14:paraId="219A2EE8"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352,099.96</w:t>
            </w:r>
          </w:p>
        </w:tc>
        <w:tc>
          <w:tcPr>
            <w:tcW w:w="1294" w:type="dxa"/>
            <w:tcBorders>
              <w:top w:val="nil"/>
              <w:left w:val="nil"/>
              <w:bottom w:val="nil"/>
              <w:right w:val="nil"/>
            </w:tcBorders>
            <w:shd w:val="clear" w:color="auto" w:fill="auto"/>
            <w:noWrap/>
            <w:vAlign w:val="bottom"/>
            <w:hideMark/>
          </w:tcPr>
          <w:p w14:paraId="33062EF5"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1,359,583.97</w:t>
            </w:r>
          </w:p>
        </w:tc>
        <w:tc>
          <w:tcPr>
            <w:tcW w:w="1294" w:type="dxa"/>
            <w:tcBorders>
              <w:top w:val="nil"/>
              <w:left w:val="nil"/>
              <w:bottom w:val="nil"/>
              <w:right w:val="nil"/>
            </w:tcBorders>
            <w:shd w:val="clear" w:color="auto" w:fill="auto"/>
            <w:noWrap/>
            <w:vAlign w:val="bottom"/>
            <w:hideMark/>
          </w:tcPr>
          <w:p w14:paraId="0F443B15"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1,359,335.00</w:t>
            </w:r>
          </w:p>
        </w:tc>
        <w:tc>
          <w:tcPr>
            <w:tcW w:w="1098" w:type="dxa"/>
            <w:tcBorders>
              <w:top w:val="nil"/>
              <w:left w:val="nil"/>
              <w:bottom w:val="nil"/>
              <w:right w:val="nil"/>
            </w:tcBorders>
            <w:shd w:val="clear" w:color="auto" w:fill="auto"/>
            <w:noWrap/>
            <w:vAlign w:val="bottom"/>
            <w:hideMark/>
          </w:tcPr>
          <w:p w14:paraId="479B5272"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31.83%</w:t>
            </w:r>
          </w:p>
        </w:tc>
      </w:tr>
      <w:tr w:rsidR="007166D2" w:rsidRPr="007166D2" w14:paraId="0142743F" w14:textId="77777777" w:rsidTr="007166D2">
        <w:trPr>
          <w:trHeight w:val="255"/>
        </w:trPr>
        <w:tc>
          <w:tcPr>
            <w:tcW w:w="3450" w:type="dxa"/>
            <w:tcBorders>
              <w:top w:val="nil"/>
              <w:left w:val="nil"/>
              <w:bottom w:val="nil"/>
              <w:right w:val="nil"/>
            </w:tcBorders>
            <w:shd w:val="clear" w:color="auto" w:fill="auto"/>
            <w:noWrap/>
            <w:vAlign w:val="bottom"/>
            <w:hideMark/>
          </w:tcPr>
          <w:p w14:paraId="78162DFB" w14:textId="77777777" w:rsidR="007166D2" w:rsidRPr="007166D2" w:rsidRDefault="007166D2" w:rsidP="007166D2">
            <w:pPr>
              <w:rPr>
                <w:sz w:val="20"/>
                <w:szCs w:val="20"/>
                <w:lang w:val="en-CA" w:eastAsia="en-CA"/>
              </w:rPr>
            </w:pPr>
            <w:r w:rsidRPr="007166D2">
              <w:rPr>
                <w:sz w:val="20"/>
                <w:szCs w:val="20"/>
                <w:lang w:val="en-CA" w:eastAsia="en-CA"/>
              </w:rPr>
              <w:t xml:space="preserve">  Service Operations - All</w:t>
            </w:r>
          </w:p>
        </w:tc>
        <w:tc>
          <w:tcPr>
            <w:tcW w:w="1152" w:type="dxa"/>
            <w:tcBorders>
              <w:top w:val="nil"/>
              <w:left w:val="nil"/>
              <w:bottom w:val="nil"/>
              <w:right w:val="nil"/>
            </w:tcBorders>
            <w:shd w:val="clear" w:color="auto" w:fill="auto"/>
            <w:noWrap/>
            <w:vAlign w:val="bottom"/>
            <w:hideMark/>
          </w:tcPr>
          <w:p w14:paraId="05EEF81D"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212,774.87</w:t>
            </w:r>
          </w:p>
        </w:tc>
        <w:tc>
          <w:tcPr>
            <w:tcW w:w="1152" w:type="dxa"/>
            <w:tcBorders>
              <w:top w:val="nil"/>
              <w:left w:val="nil"/>
              <w:bottom w:val="nil"/>
              <w:right w:val="nil"/>
            </w:tcBorders>
            <w:shd w:val="clear" w:color="auto" w:fill="auto"/>
            <w:noWrap/>
            <w:vAlign w:val="bottom"/>
            <w:hideMark/>
          </w:tcPr>
          <w:p w14:paraId="3BB122D0"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337,292.32</w:t>
            </w:r>
          </w:p>
        </w:tc>
        <w:tc>
          <w:tcPr>
            <w:tcW w:w="1294" w:type="dxa"/>
            <w:tcBorders>
              <w:top w:val="nil"/>
              <w:left w:val="nil"/>
              <w:bottom w:val="nil"/>
              <w:right w:val="nil"/>
            </w:tcBorders>
            <w:shd w:val="clear" w:color="auto" w:fill="auto"/>
            <w:noWrap/>
            <w:vAlign w:val="bottom"/>
            <w:hideMark/>
          </w:tcPr>
          <w:p w14:paraId="15915AD5"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904,793.50</w:t>
            </w:r>
          </w:p>
        </w:tc>
        <w:tc>
          <w:tcPr>
            <w:tcW w:w="1294" w:type="dxa"/>
            <w:tcBorders>
              <w:top w:val="nil"/>
              <w:left w:val="nil"/>
              <w:bottom w:val="nil"/>
              <w:right w:val="nil"/>
            </w:tcBorders>
            <w:shd w:val="clear" w:color="auto" w:fill="auto"/>
            <w:noWrap/>
            <w:vAlign w:val="bottom"/>
            <w:hideMark/>
          </w:tcPr>
          <w:p w14:paraId="04566BFC"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852,065.00</w:t>
            </w:r>
          </w:p>
        </w:tc>
        <w:tc>
          <w:tcPr>
            <w:tcW w:w="1098" w:type="dxa"/>
            <w:tcBorders>
              <w:top w:val="nil"/>
              <w:left w:val="nil"/>
              <w:bottom w:val="nil"/>
              <w:right w:val="nil"/>
            </w:tcBorders>
            <w:shd w:val="clear" w:color="auto" w:fill="auto"/>
            <w:noWrap/>
            <w:vAlign w:val="bottom"/>
            <w:hideMark/>
          </w:tcPr>
          <w:p w14:paraId="0279446B"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24.97%</w:t>
            </w:r>
          </w:p>
        </w:tc>
      </w:tr>
      <w:tr w:rsidR="007166D2" w:rsidRPr="007166D2" w14:paraId="1F1BD6E0" w14:textId="77777777" w:rsidTr="007166D2">
        <w:trPr>
          <w:trHeight w:val="255"/>
        </w:trPr>
        <w:tc>
          <w:tcPr>
            <w:tcW w:w="3450" w:type="dxa"/>
            <w:tcBorders>
              <w:top w:val="nil"/>
              <w:left w:val="nil"/>
              <w:bottom w:val="nil"/>
              <w:right w:val="nil"/>
            </w:tcBorders>
            <w:shd w:val="clear" w:color="auto" w:fill="auto"/>
            <w:noWrap/>
            <w:vAlign w:val="bottom"/>
            <w:hideMark/>
          </w:tcPr>
          <w:p w14:paraId="6D725147" w14:textId="77777777" w:rsidR="007166D2" w:rsidRPr="007166D2" w:rsidRDefault="007166D2" w:rsidP="007166D2">
            <w:pPr>
              <w:rPr>
                <w:sz w:val="20"/>
                <w:szCs w:val="20"/>
                <w:lang w:val="en-CA" w:eastAsia="en-CA"/>
              </w:rPr>
            </w:pPr>
            <w:r w:rsidRPr="007166D2">
              <w:rPr>
                <w:sz w:val="20"/>
                <w:szCs w:val="20"/>
                <w:lang w:val="en-CA" w:eastAsia="en-CA"/>
              </w:rPr>
              <w:t xml:space="preserve">  CFMU 93.3 Inc. - All</w:t>
            </w:r>
          </w:p>
        </w:tc>
        <w:tc>
          <w:tcPr>
            <w:tcW w:w="1152" w:type="dxa"/>
            <w:tcBorders>
              <w:top w:val="nil"/>
              <w:left w:val="nil"/>
              <w:bottom w:val="nil"/>
              <w:right w:val="nil"/>
            </w:tcBorders>
            <w:shd w:val="clear" w:color="auto" w:fill="auto"/>
            <w:noWrap/>
            <w:vAlign w:val="bottom"/>
            <w:hideMark/>
          </w:tcPr>
          <w:p w14:paraId="55A51110"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104,654.25</w:t>
            </w:r>
          </w:p>
        </w:tc>
        <w:tc>
          <w:tcPr>
            <w:tcW w:w="1152" w:type="dxa"/>
            <w:tcBorders>
              <w:top w:val="nil"/>
              <w:left w:val="nil"/>
              <w:bottom w:val="nil"/>
              <w:right w:val="nil"/>
            </w:tcBorders>
            <w:shd w:val="clear" w:color="auto" w:fill="auto"/>
            <w:noWrap/>
            <w:vAlign w:val="bottom"/>
            <w:hideMark/>
          </w:tcPr>
          <w:p w14:paraId="388C7EC9"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104,527.90</w:t>
            </w:r>
          </w:p>
        </w:tc>
        <w:tc>
          <w:tcPr>
            <w:tcW w:w="1294" w:type="dxa"/>
            <w:tcBorders>
              <w:top w:val="nil"/>
              <w:left w:val="nil"/>
              <w:bottom w:val="nil"/>
              <w:right w:val="nil"/>
            </w:tcBorders>
            <w:shd w:val="clear" w:color="auto" w:fill="auto"/>
            <w:noWrap/>
            <w:vAlign w:val="bottom"/>
            <w:hideMark/>
          </w:tcPr>
          <w:p w14:paraId="00E8B50C"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67,858.85</w:t>
            </w:r>
          </w:p>
        </w:tc>
        <w:tc>
          <w:tcPr>
            <w:tcW w:w="1294" w:type="dxa"/>
            <w:tcBorders>
              <w:top w:val="nil"/>
              <w:left w:val="nil"/>
              <w:bottom w:val="nil"/>
              <w:right w:val="nil"/>
            </w:tcBorders>
            <w:shd w:val="clear" w:color="auto" w:fill="auto"/>
            <w:noWrap/>
            <w:vAlign w:val="bottom"/>
            <w:hideMark/>
          </w:tcPr>
          <w:p w14:paraId="7A764088"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16,600.00</w:t>
            </w:r>
          </w:p>
        </w:tc>
        <w:tc>
          <w:tcPr>
            <w:tcW w:w="1098" w:type="dxa"/>
            <w:tcBorders>
              <w:top w:val="nil"/>
              <w:left w:val="nil"/>
              <w:bottom w:val="nil"/>
              <w:right w:val="nil"/>
            </w:tcBorders>
            <w:shd w:val="clear" w:color="auto" w:fill="auto"/>
            <w:noWrap/>
            <w:vAlign w:val="bottom"/>
            <w:hideMark/>
          </w:tcPr>
          <w:p w14:paraId="2596A3EF"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630.45%</w:t>
            </w:r>
          </w:p>
        </w:tc>
      </w:tr>
      <w:tr w:rsidR="007166D2" w:rsidRPr="007166D2" w14:paraId="40240AA4" w14:textId="77777777" w:rsidTr="007166D2">
        <w:trPr>
          <w:trHeight w:val="255"/>
        </w:trPr>
        <w:tc>
          <w:tcPr>
            <w:tcW w:w="3450" w:type="dxa"/>
            <w:tcBorders>
              <w:top w:val="nil"/>
              <w:left w:val="nil"/>
              <w:bottom w:val="nil"/>
              <w:right w:val="nil"/>
            </w:tcBorders>
            <w:shd w:val="clear" w:color="auto" w:fill="auto"/>
            <w:noWrap/>
            <w:vAlign w:val="bottom"/>
            <w:hideMark/>
          </w:tcPr>
          <w:p w14:paraId="0A0F1B0E" w14:textId="77777777" w:rsidR="007166D2" w:rsidRPr="007166D2" w:rsidRDefault="007166D2" w:rsidP="007166D2">
            <w:pPr>
              <w:rPr>
                <w:sz w:val="20"/>
                <w:szCs w:val="20"/>
                <w:lang w:val="en-CA" w:eastAsia="en-CA"/>
              </w:rPr>
            </w:pPr>
            <w:r w:rsidRPr="007166D2">
              <w:rPr>
                <w:sz w:val="20"/>
                <w:szCs w:val="20"/>
                <w:lang w:val="en-CA" w:eastAsia="en-CA"/>
              </w:rPr>
              <w:t xml:space="preserve">  Marmor Fund - All</w:t>
            </w:r>
          </w:p>
        </w:tc>
        <w:tc>
          <w:tcPr>
            <w:tcW w:w="1152" w:type="dxa"/>
            <w:tcBorders>
              <w:top w:val="nil"/>
              <w:left w:val="nil"/>
              <w:bottom w:val="nil"/>
              <w:right w:val="nil"/>
            </w:tcBorders>
            <w:shd w:val="clear" w:color="auto" w:fill="auto"/>
            <w:noWrap/>
            <w:vAlign w:val="bottom"/>
            <w:hideMark/>
          </w:tcPr>
          <w:p w14:paraId="008DAD19" w14:textId="77777777" w:rsidR="007166D2" w:rsidRPr="007166D2" w:rsidRDefault="007166D2" w:rsidP="007166D2">
            <w:pPr>
              <w:jc w:val="right"/>
              <w:rPr>
                <w:sz w:val="20"/>
                <w:szCs w:val="20"/>
                <w:lang w:val="en-CA" w:eastAsia="en-CA"/>
              </w:rPr>
            </w:pPr>
            <w:r w:rsidRPr="007166D2">
              <w:rPr>
                <w:sz w:val="20"/>
                <w:szCs w:val="20"/>
                <w:lang w:val="en-CA" w:eastAsia="en-CA"/>
              </w:rPr>
              <w:t>8,625.18</w:t>
            </w:r>
          </w:p>
        </w:tc>
        <w:tc>
          <w:tcPr>
            <w:tcW w:w="1152" w:type="dxa"/>
            <w:tcBorders>
              <w:top w:val="nil"/>
              <w:left w:val="nil"/>
              <w:bottom w:val="nil"/>
              <w:right w:val="nil"/>
            </w:tcBorders>
            <w:shd w:val="clear" w:color="auto" w:fill="auto"/>
            <w:noWrap/>
            <w:vAlign w:val="bottom"/>
            <w:hideMark/>
          </w:tcPr>
          <w:p w14:paraId="563656B9" w14:textId="77777777" w:rsidR="007166D2" w:rsidRPr="007166D2" w:rsidRDefault="007166D2" w:rsidP="007166D2">
            <w:pPr>
              <w:jc w:val="right"/>
              <w:rPr>
                <w:sz w:val="20"/>
                <w:szCs w:val="20"/>
                <w:lang w:val="en-CA" w:eastAsia="en-CA"/>
              </w:rPr>
            </w:pPr>
            <w:r w:rsidRPr="007166D2">
              <w:rPr>
                <w:sz w:val="20"/>
                <w:szCs w:val="20"/>
                <w:lang w:val="en-CA" w:eastAsia="en-CA"/>
              </w:rPr>
              <w:t>11,741.90</w:t>
            </w:r>
          </w:p>
        </w:tc>
        <w:tc>
          <w:tcPr>
            <w:tcW w:w="1294" w:type="dxa"/>
            <w:tcBorders>
              <w:top w:val="nil"/>
              <w:left w:val="nil"/>
              <w:bottom w:val="nil"/>
              <w:right w:val="nil"/>
            </w:tcBorders>
            <w:shd w:val="clear" w:color="auto" w:fill="auto"/>
            <w:noWrap/>
            <w:vAlign w:val="bottom"/>
            <w:hideMark/>
          </w:tcPr>
          <w:p w14:paraId="7DA9CB59"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117,458.05</w:t>
            </w:r>
          </w:p>
        </w:tc>
        <w:tc>
          <w:tcPr>
            <w:tcW w:w="1294" w:type="dxa"/>
            <w:tcBorders>
              <w:top w:val="nil"/>
              <w:left w:val="nil"/>
              <w:bottom w:val="nil"/>
              <w:right w:val="nil"/>
            </w:tcBorders>
            <w:shd w:val="clear" w:color="auto" w:fill="auto"/>
            <w:noWrap/>
            <w:vAlign w:val="bottom"/>
            <w:hideMark/>
          </w:tcPr>
          <w:p w14:paraId="75EB2052"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100,350.00</w:t>
            </w:r>
          </w:p>
        </w:tc>
        <w:tc>
          <w:tcPr>
            <w:tcW w:w="1098" w:type="dxa"/>
            <w:tcBorders>
              <w:top w:val="nil"/>
              <w:left w:val="nil"/>
              <w:bottom w:val="nil"/>
              <w:right w:val="nil"/>
            </w:tcBorders>
            <w:shd w:val="clear" w:color="auto" w:fill="auto"/>
            <w:noWrap/>
            <w:vAlign w:val="bottom"/>
            <w:hideMark/>
          </w:tcPr>
          <w:p w14:paraId="5843E7E4"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8.60%</w:t>
            </w:r>
          </w:p>
        </w:tc>
      </w:tr>
      <w:tr w:rsidR="007166D2" w:rsidRPr="007166D2" w14:paraId="7A63C7BF" w14:textId="77777777" w:rsidTr="007166D2">
        <w:trPr>
          <w:trHeight w:val="255"/>
        </w:trPr>
        <w:tc>
          <w:tcPr>
            <w:tcW w:w="3450" w:type="dxa"/>
            <w:tcBorders>
              <w:top w:val="nil"/>
              <w:left w:val="nil"/>
              <w:bottom w:val="nil"/>
              <w:right w:val="nil"/>
            </w:tcBorders>
            <w:shd w:val="clear" w:color="auto" w:fill="auto"/>
            <w:noWrap/>
            <w:vAlign w:val="bottom"/>
            <w:hideMark/>
          </w:tcPr>
          <w:p w14:paraId="41B9163C" w14:textId="77777777" w:rsidR="007166D2" w:rsidRPr="007166D2" w:rsidRDefault="007166D2" w:rsidP="007166D2">
            <w:pPr>
              <w:rPr>
                <w:sz w:val="20"/>
                <w:szCs w:val="20"/>
                <w:lang w:val="en-CA" w:eastAsia="en-CA"/>
              </w:rPr>
            </w:pPr>
            <w:r w:rsidRPr="007166D2">
              <w:rPr>
                <w:sz w:val="20"/>
                <w:szCs w:val="20"/>
                <w:lang w:val="en-CA" w:eastAsia="en-CA"/>
              </w:rPr>
              <w:t xml:space="preserve">  Student Health Plan Fund - All</w:t>
            </w:r>
          </w:p>
        </w:tc>
        <w:tc>
          <w:tcPr>
            <w:tcW w:w="1152" w:type="dxa"/>
            <w:tcBorders>
              <w:top w:val="nil"/>
              <w:left w:val="nil"/>
              <w:bottom w:val="nil"/>
              <w:right w:val="nil"/>
            </w:tcBorders>
            <w:shd w:val="clear" w:color="auto" w:fill="auto"/>
            <w:noWrap/>
            <w:vAlign w:val="bottom"/>
            <w:hideMark/>
          </w:tcPr>
          <w:p w14:paraId="7496E1C5" w14:textId="77777777" w:rsidR="007166D2" w:rsidRPr="007166D2" w:rsidRDefault="007166D2" w:rsidP="007166D2">
            <w:pPr>
              <w:jc w:val="right"/>
              <w:rPr>
                <w:sz w:val="20"/>
                <w:szCs w:val="20"/>
                <w:lang w:val="en-CA" w:eastAsia="en-CA"/>
              </w:rPr>
            </w:pPr>
            <w:r w:rsidRPr="007166D2">
              <w:rPr>
                <w:sz w:val="20"/>
                <w:szCs w:val="20"/>
                <w:lang w:val="en-CA" w:eastAsia="en-CA"/>
              </w:rPr>
              <w:t>550,549.66</w:t>
            </w:r>
          </w:p>
        </w:tc>
        <w:tc>
          <w:tcPr>
            <w:tcW w:w="1152" w:type="dxa"/>
            <w:tcBorders>
              <w:top w:val="nil"/>
              <w:left w:val="nil"/>
              <w:bottom w:val="nil"/>
              <w:right w:val="nil"/>
            </w:tcBorders>
            <w:shd w:val="clear" w:color="auto" w:fill="auto"/>
            <w:noWrap/>
            <w:vAlign w:val="bottom"/>
            <w:hideMark/>
          </w:tcPr>
          <w:p w14:paraId="5B604AEF" w14:textId="77777777" w:rsidR="007166D2" w:rsidRPr="007166D2" w:rsidRDefault="007166D2" w:rsidP="007166D2">
            <w:pPr>
              <w:jc w:val="right"/>
              <w:rPr>
                <w:sz w:val="20"/>
                <w:szCs w:val="20"/>
                <w:lang w:val="en-CA" w:eastAsia="en-CA"/>
              </w:rPr>
            </w:pPr>
            <w:r w:rsidRPr="007166D2">
              <w:rPr>
                <w:sz w:val="20"/>
                <w:szCs w:val="20"/>
                <w:lang w:val="en-CA" w:eastAsia="en-CA"/>
              </w:rPr>
              <w:t>461,254.48</w:t>
            </w:r>
          </w:p>
        </w:tc>
        <w:tc>
          <w:tcPr>
            <w:tcW w:w="1294" w:type="dxa"/>
            <w:tcBorders>
              <w:top w:val="nil"/>
              <w:left w:val="nil"/>
              <w:bottom w:val="nil"/>
              <w:right w:val="nil"/>
            </w:tcBorders>
            <w:shd w:val="clear" w:color="auto" w:fill="auto"/>
            <w:noWrap/>
            <w:vAlign w:val="bottom"/>
            <w:hideMark/>
          </w:tcPr>
          <w:p w14:paraId="1827A325"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(284,053.48)</w:t>
            </w:r>
          </w:p>
        </w:tc>
        <w:tc>
          <w:tcPr>
            <w:tcW w:w="1294" w:type="dxa"/>
            <w:tcBorders>
              <w:top w:val="nil"/>
              <w:left w:val="nil"/>
              <w:bottom w:val="nil"/>
              <w:right w:val="nil"/>
            </w:tcBorders>
            <w:shd w:val="clear" w:color="auto" w:fill="auto"/>
            <w:noWrap/>
            <w:vAlign w:val="bottom"/>
            <w:hideMark/>
          </w:tcPr>
          <w:p w14:paraId="43AA80A2"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(175,250.00)</w:t>
            </w:r>
          </w:p>
        </w:tc>
        <w:tc>
          <w:tcPr>
            <w:tcW w:w="1098" w:type="dxa"/>
            <w:tcBorders>
              <w:top w:val="nil"/>
              <w:left w:val="nil"/>
              <w:bottom w:val="nil"/>
              <w:right w:val="nil"/>
            </w:tcBorders>
            <w:shd w:val="clear" w:color="auto" w:fill="auto"/>
            <w:noWrap/>
            <w:vAlign w:val="bottom"/>
            <w:hideMark/>
          </w:tcPr>
          <w:p w14:paraId="7F15978C"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(314.15%)</w:t>
            </w:r>
          </w:p>
        </w:tc>
      </w:tr>
      <w:tr w:rsidR="007166D2" w:rsidRPr="007166D2" w14:paraId="012D3514" w14:textId="77777777" w:rsidTr="007166D2">
        <w:trPr>
          <w:trHeight w:val="255"/>
        </w:trPr>
        <w:tc>
          <w:tcPr>
            <w:tcW w:w="3450" w:type="dxa"/>
            <w:tcBorders>
              <w:top w:val="nil"/>
              <w:left w:val="nil"/>
              <w:bottom w:val="nil"/>
              <w:right w:val="nil"/>
            </w:tcBorders>
            <w:shd w:val="clear" w:color="auto" w:fill="auto"/>
            <w:noWrap/>
            <w:vAlign w:val="bottom"/>
            <w:hideMark/>
          </w:tcPr>
          <w:p w14:paraId="60F2EE2F" w14:textId="77777777" w:rsidR="007166D2" w:rsidRPr="007166D2" w:rsidRDefault="007166D2" w:rsidP="007166D2">
            <w:pPr>
              <w:rPr>
                <w:sz w:val="20"/>
                <w:szCs w:val="20"/>
                <w:lang w:val="en-CA" w:eastAsia="en-CA"/>
              </w:rPr>
            </w:pPr>
            <w:r w:rsidRPr="007166D2">
              <w:rPr>
                <w:sz w:val="20"/>
                <w:szCs w:val="20"/>
                <w:lang w:val="en-CA" w:eastAsia="en-CA"/>
              </w:rPr>
              <w:t xml:space="preserve">  Student Dental Plan - All</w:t>
            </w:r>
          </w:p>
        </w:tc>
        <w:tc>
          <w:tcPr>
            <w:tcW w:w="1152" w:type="dxa"/>
            <w:tcBorders>
              <w:top w:val="nil"/>
              <w:left w:val="nil"/>
              <w:bottom w:val="nil"/>
              <w:right w:val="nil"/>
            </w:tcBorders>
            <w:shd w:val="clear" w:color="auto" w:fill="auto"/>
            <w:noWrap/>
            <w:vAlign w:val="bottom"/>
            <w:hideMark/>
          </w:tcPr>
          <w:p w14:paraId="62A86E65" w14:textId="77777777" w:rsidR="007166D2" w:rsidRPr="007166D2" w:rsidRDefault="007166D2" w:rsidP="007166D2">
            <w:pPr>
              <w:jc w:val="right"/>
              <w:rPr>
                <w:sz w:val="20"/>
                <w:szCs w:val="20"/>
                <w:lang w:val="en-CA" w:eastAsia="en-CA"/>
              </w:rPr>
            </w:pPr>
            <w:r w:rsidRPr="007166D2">
              <w:rPr>
                <w:sz w:val="20"/>
                <w:szCs w:val="20"/>
                <w:lang w:val="en-CA" w:eastAsia="en-CA"/>
              </w:rPr>
              <w:t>661,804.93</w:t>
            </w:r>
          </w:p>
        </w:tc>
        <w:tc>
          <w:tcPr>
            <w:tcW w:w="1152" w:type="dxa"/>
            <w:tcBorders>
              <w:top w:val="nil"/>
              <w:left w:val="nil"/>
              <w:bottom w:val="nil"/>
              <w:right w:val="nil"/>
            </w:tcBorders>
            <w:shd w:val="clear" w:color="auto" w:fill="auto"/>
            <w:noWrap/>
            <w:vAlign w:val="bottom"/>
            <w:hideMark/>
          </w:tcPr>
          <w:p w14:paraId="729FF30D" w14:textId="77777777" w:rsidR="007166D2" w:rsidRPr="007166D2" w:rsidRDefault="007166D2" w:rsidP="007166D2">
            <w:pPr>
              <w:jc w:val="right"/>
              <w:rPr>
                <w:sz w:val="20"/>
                <w:szCs w:val="20"/>
                <w:lang w:val="en-CA" w:eastAsia="en-CA"/>
              </w:rPr>
            </w:pPr>
            <w:r w:rsidRPr="007166D2">
              <w:rPr>
                <w:sz w:val="20"/>
                <w:szCs w:val="20"/>
                <w:lang w:val="en-CA" w:eastAsia="en-CA"/>
              </w:rPr>
              <w:t>568,427.81</w:t>
            </w:r>
          </w:p>
        </w:tc>
        <w:tc>
          <w:tcPr>
            <w:tcW w:w="1294" w:type="dxa"/>
            <w:tcBorders>
              <w:top w:val="nil"/>
              <w:left w:val="nil"/>
              <w:bottom w:val="nil"/>
              <w:right w:val="nil"/>
            </w:tcBorders>
            <w:shd w:val="clear" w:color="auto" w:fill="auto"/>
            <w:noWrap/>
            <w:vAlign w:val="bottom"/>
            <w:hideMark/>
          </w:tcPr>
          <w:p w14:paraId="7D3C3C2B"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1,221.37</w:t>
            </w:r>
          </w:p>
        </w:tc>
        <w:tc>
          <w:tcPr>
            <w:tcW w:w="1294" w:type="dxa"/>
            <w:tcBorders>
              <w:top w:val="nil"/>
              <w:left w:val="nil"/>
              <w:bottom w:val="nil"/>
              <w:right w:val="nil"/>
            </w:tcBorders>
            <w:shd w:val="clear" w:color="auto" w:fill="auto"/>
            <w:noWrap/>
            <w:vAlign w:val="bottom"/>
            <w:hideMark/>
          </w:tcPr>
          <w:p w14:paraId="0ADD46F8"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(70,650.00)</w:t>
            </w:r>
          </w:p>
        </w:tc>
        <w:tc>
          <w:tcPr>
            <w:tcW w:w="1098" w:type="dxa"/>
            <w:tcBorders>
              <w:top w:val="nil"/>
              <w:left w:val="nil"/>
              <w:bottom w:val="nil"/>
              <w:right w:val="nil"/>
            </w:tcBorders>
            <w:shd w:val="clear" w:color="auto" w:fill="auto"/>
            <w:noWrap/>
            <w:vAlign w:val="bottom"/>
            <w:hideMark/>
          </w:tcPr>
          <w:p w14:paraId="65F8499F"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(936.74%)</w:t>
            </w:r>
          </w:p>
        </w:tc>
      </w:tr>
      <w:tr w:rsidR="007166D2" w:rsidRPr="007166D2" w14:paraId="7F68DBF4" w14:textId="77777777" w:rsidTr="007166D2">
        <w:trPr>
          <w:trHeight w:val="255"/>
        </w:trPr>
        <w:tc>
          <w:tcPr>
            <w:tcW w:w="3450" w:type="dxa"/>
            <w:tcBorders>
              <w:top w:val="nil"/>
              <w:left w:val="nil"/>
              <w:bottom w:val="nil"/>
              <w:right w:val="nil"/>
            </w:tcBorders>
            <w:shd w:val="clear" w:color="auto" w:fill="auto"/>
            <w:noWrap/>
            <w:vAlign w:val="bottom"/>
            <w:hideMark/>
          </w:tcPr>
          <w:p w14:paraId="3E59EB5A" w14:textId="77777777" w:rsidR="007166D2" w:rsidRPr="007166D2" w:rsidRDefault="007166D2" w:rsidP="007166D2">
            <w:pPr>
              <w:rPr>
                <w:sz w:val="20"/>
                <w:szCs w:val="20"/>
                <w:lang w:val="en-CA" w:eastAsia="en-CA"/>
              </w:rPr>
            </w:pPr>
            <w:r w:rsidRPr="007166D2">
              <w:rPr>
                <w:sz w:val="20"/>
                <w:szCs w:val="20"/>
                <w:lang w:val="en-CA" w:eastAsia="en-CA"/>
              </w:rPr>
              <w:t xml:space="preserve">  University Centre Building Fund - All</w:t>
            </w:r>
          </w:p>
        </w:tc>
        <w:tc>
          <w:tcPr>
            <w:tcW w:w="1152" w:type="dxa"/>
            <w:tcBorders>
              <w:top w:val="nil"/>
              <w:left w:val="nil"/>
              <w:bottom w:val="nil"/>
              <w:right w:val="nil"/>
            </w:tcBorders>
            <w:shd w:val="clear" w:color="auto" w:fill="auto"/>
            <w:noWrap/>
            <w:vAlign w:val="bottom"/>
            <w:hideMark/>
          </w:tcPr>
          <w:p w14:paraId="1AA6A02F" w14:textId="77777777" w:rsidR="007166D2" w:rsidRPr="007166D2" w:rsidRDefault="007166D2" w:rsidP="007166D2">
            <w:pPr>
              <w:jc w:val="right"/>
              <w:rPr>
                <w:sz w:val="20"/>
                <w:szCs w:val="20"/>
                <w:lang w:val="en-CA" w:eastAsia="en-CA"/>
              </w:rPr>
            </w:pPr>
            <w:r w:rsidRPr="007166D2">
              <w:rPr>
                <w:sz w:val="20"/>
                <w:szCs w:val="20"/>
                <w:lang w:val="en-CA" w:eastAsia="en-CA"/>
              </w:rPr>
              <w:t>0.00</w:t>
            </w:r>
          </w:p>
        </w:tc>
        <w:tc>
          <w:tcPr>
            <w:tcW w:w="1152" w:type="dxa"/>
            <w:tcBorders>
              <w:top w:val="nil"/>
              <w:left w:val="nil"/>
              <w:bottom w:val="nil"/>
              <w:right w:val="nil"/>
            </w:tcBorders>
            <w:shd w:val="clear" w:color="auto" w:fill="auto"/>
            <w:noWrap/>
            <w:vAlign w:val="bottom"/>
            <w:hideMark/>
          </w:tcPr>
          <w:p w14:paraId="055BEAC4"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0.00</w:t>
            </w:r>
          </w:p>
        </w:tc>
        <w:tc>
          <w:tcPr>
            <w:tcW w:w="1294" w:type="dxa"/>
            <w:tcBorders>
              <w:top w:val="nil"/>
              <w:left w:val="nil"/>
              <w:bottom w:val="nil"/>
              <w:right w:val="nil"/>
            </w:tcBorders>
            <w:shd w:val="clear" w:color="auto" w:fill="auto"/>
            <w:noWrap/>
            <w:vAlign w:val="bottom"/>
            <w:hideMark/>
          </w:tcPr>
          <w:p w14:paraId="324A23D1"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(111,367.52)</w:t>
            </w:r>
          </w:p>
        </w:tc>
        <w:tc>
          <w:tcPr>
            <w:tcW w:w="1294" w:type="dxa"/>
            <w:tcBorders>
              <w:top w:val="nil"/>
              <w:left w:val="nil"/>
              <w:bottom w:val="nil"/>
              <w:right w:val="nil"/>
            </w:tcBorders>
            <w:shd w:val="clear" w:color="auto" w:fill="auto"/>
            <w:noWrap/>
            <w:vAlign w:val="bottom"/>
            <w:hideMark/>
          </w:tcPr>
          <w:p w14:paraId="614CCEC2"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(62,655.00)</w:t>
            </w:r>
          </w:p>
        </w:tc>
        <w:tc>
          <w:tcPr>
            <w:tcW w:w="1098" w:type="dxa"/>
            <w:tcBorders>
              <w:top w:val="nil"/>
              <w:left w:val="nil"/>
              <w:bottom w:val="nil"/>
              <w:right w:val="nil"/>
            </w:tcBorders>
            <w:shd w:val="clear" w:color="auto" w:fill="auto"/>
            <w:noWrap/>
            <w:vAlign w:val="bottom"/>
            <w:hideMark/>
          </w:tcPr>
          <w:p w14:paraId="5AA4CD67"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.00%</w:t>
            </w:r>
          </w:p>
        </w:tc>
      </w:tr>
      <w:tr w:rsidR="007166D2" w:rsidRPr="007166D2" w14:paraId="358245DF" w14:textId="77777777" w:rsidTr="007166D2">
        <w:trPr>
          <w:trHeight w:val="345"/>
        </w:trPr>
        <w:tc>
          <w:tcPr>
            <w:tcW w:w="3450" w:type="dxa"/>
            <w:tcBorders>
              <w:top w:val="nil"/>
              <w:left w:val="nil"/>
              <w:bottom w:val="nil"/>
              <w:right w:val="nil"/>
            </w:tcBorders>
            <w:shd w:val="clear" w:color="auto" w:fill="auto"/>
            <w:noWrap/>
            <w:vAlign w:val="bottom"/>
            <w:hideMark/>
          </w:tcPr>
          <w:p w14:paraId="74CB2349" w14:textId="77777777" w:rsidR="007166D2" w:rsidRPr="007166D2" w:rsidRDefault="007166D2" w:rsidP="007166D2">
            <w:pPr>
              <w:rPr>
                <w:sz w:val="20"/>
                <w:szCs w:val="20"/>
                <w:lang w:val="en-CA" w:eastAsia="en-CA"/>
              </w:rPr>
            </w:pPr>
            <w:r w:rsidRPr="007166D2">
              <w:rPr>
                <w:sz w:val="20"/>
                <w:szCs w:val="20"/>
                <w:lang w:val="en-CA" w:eastAsia="en-CA"/>
              </w:rPr>
              <w:t xml:space="preserve">   Total All</w:t>
            </w:r>
          </w:p>
        </w:tc>
        <w:tc>
          <w:tcPr>
            <w:tcW w:w="1152" w:type="dxa"/>
            <w:tcBorders>
              <w:top w:val="single" w:sz="4" w:space="0" w:color="auto"/>
              <w:left w:val="nil"/>
              <w:bottom w:val="single" w:sz="4" w:space="0" w:color="auto"/>
              <w:right w:val="nil"/>
            </w:tcBorders>
            <w:shd w:val="clear" w:color="auto" w:fill="auto"/>
            <w:noWrap/>
            <w:vAlign w:val="bottom"/>
            <w:hideMark/>
          </w:tcPr>
          <w:p w14:paraId="3015AD45" w14:textId="77777777" w:rsidR="007166D2" w:rsidRPr="007166D2" w:rsidRDefault="007166D2" w:rsidP="007166D2">
            <w:pPr>
              <w:jc w:val="right"/>
              <w:rPr>
                <w:sz w:val="20"/>
                <w:szCs w:val="20"/>
                <w:lang w:val="en-CA" w:eastAsia="en-CA"/>
              </w:rPr>
            </w:pPr>
            <w:r w:rsidRPr="007166D2">
              <w:rPr>
                <w:sz w:val="20"/>
                <w:szCs w:val="20"/>
                <w:lang w:val="en-CA" w:eastAsia="en-CA"/>
              </w:rPr>
              <w:t>1,848,743.86</w:t>
            </w:r>
          </w:p>
        </w:tc>
        <w:tc>
          <w:tcPr>
            <w:tcW w:w="1152" w:type="dxa"/>
            <w:tcBorders>
              <w:top w:val="single" w:sz="4" w:space="0" w:color="auto"/>
              <w:left w:val="nil"/>
              <w:bottom w:val="single" w:sz="4" w:space="0" w:color="auto"/>
              <w:right w:val="nil"/>
            </w:tcBorders>
            <w:shd w:val="clear" w:color="auto" w:fill="auto"/>
            <w:noWrap/>
            <w:vAlign w:val="bottom"/>
            <w:hideMark/>
          </w:tcPr>
          <w:p w14:paraId="4AA4EC62" w14:textId="77777777" w:rsidR="007166D2" w:rsidRPr="007166D2" w:rsidRDefault="007166D2" w:rsidP="007166D2">
            <w:pPr>
              <w:jc w:val="right"/>
              <w:rPr>
                <w:sz w:val="20"/>
                <w:szCs w:val="20"/>
                <w:lang w:val="en-CA" w:eastAsia="en-CA"/>
              </w:rPr>
            </w:pPr>
            <w:r w:rsidRPr="007166D2">
              <w:rPr>
                <w:sz w:val="20"/>
                <w:szCs w:val="20"/>
                <w:lang w:val="en-CA" w:eastAsia="en-CA"/>
              </w:rPr>
              <w:t>1,681,082.49</w:t>
            </w:r>
          </w:p>
        </w:tc>
        <w:tc>
          <w:tcPr>
            <w:tcW w:w="1294" w:type="dxa"/>
            <w:tcBorders>
              <w:top w:val="single" w:sz="4" w:space="0" w:color="auto"/>
              <w:left w:val="nil"/>
              <w:bottom w:val="single" w:sz="4" w:space="0" w:color="auto"/>
              <w:right w:val="nil"/>
            </w:tcBorders>
            <w:shd w:val="clear" w:color="auto" w:fill="auto"/>
            <w:noWrap/>
            <w:vAlign w:val="bottom"/>
            <w:hideMark/>
          </w:tcPr>
          <w:p w14:paraId="340D4DE9" w14:textId="77777777" w:rsidR="007166D2" w:rsidRPr="007166D2" w:rsidRDefault="007166D2" w:rsidP="007166D2">
            <w:pPr>
              <w:jc w:val="right"/>
              <w:rPr>
                <w:sz w:val="20"/>
                <w:szCs w:val="20"/>
                <w:lang w:val="en-CA" w:eastAsia="en-CA"/>
              </w:rPr>
            </w:pPr>
            <w:r w:rsidRPr="007166D2">
              <w:rPr>
                <w:sz w:val="20"/>
                <w:szCs w:val="20"/>
                <w:lang w:val="en-CA" w:eastAsia="en-CA"/>
              </w:rPr>
              <w:t>369,514.58</w:t>
            </w:r>
          </w:p>
        </w:tc>
        <w:tc>
          <w:tcPr>
            <w:tcW w:w="1294" w:type="dxa"/>
            <w:tcBorders>
              <w:top w:val="single" w:sz="4" w:space="0" w:color="auto"/>
              <w:left w:val="nil"/>
              <w:bottom w:val="single" w:sz="4" w:space="0" w:color="auto"/>
              <w:right w:val="nil"/>
            </w:tcBorders>
            <w:shd w:val="clear" w:color="auto" w:fill="auto"/>
            <w:noWrap/>
            <w:vAlign w:val="bottom"/>
            <w:hideMark/>
          </w:tcPr>
          <w:p w14:paraId="7D72A31B" w14:textId="77777777" w:rsidR="007166D2" w:rsidRPr="007166D2" w:rsidRDefault="007166D2" w:rsidP="007166D2">
            <w:pPr>
              <w:jc w:val="right"/>
              <w:rPr>
                <w:sz w:val="20"/>
                <w:szCs w:val="20"/>
                <w:lang w:val="en-CA" w:eastAsia="en-CA"/>
              </w:rPr>
            </w:pPr>
            <w:r w:rsidRPr="007166D2">
              <w:rPr>
                <w:sz w:val="20"/>
                <w:szCs w:val="20"/>
                <w:lang w:val="en-CA" w:eastAsia="en-CA"/>
              </w:rPr>
              <w:t>(134,080.00)</w:t>
            </w:r>
          </w:p>
        </w:tc>
        <w:tc>
          <w:tcPr>
            <w:tcW w:w="1098" w:type="dxa"/>
            <w:tcBorders>
              <w:top w:val="single" w:sz="4" w:space="0" w:color="auto"/>
              <w:left w:val="nil"/>
              <w:bottom w:val="single" w:sz="4" w:space="0" w:color="auto"/>
              <w:right w:val="nil"/>
            </w:tcBorders>
            <w:shd w:val="clear" w:color="auto" w:fill="auto"/>
            <w:noWrap/>
            <w:vAlign w:val="bottom"/>
            <w:hideMark/>
          </w:tcPr>
          <w:p w14:paraId="31E83D3E"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(1,378.84%)</w:t>
            </w:r>
          </w:p>
        </w:tc>
      </w:tr>
      <w:tr w:rsidR="007166D2" w:rsidRPr="007166D2" w14:paraId="6587C7F8" w14:textId="77777777" w:rsidTr="007166D2">
        <w:trPr>
          <w:trHeight w:val="255"/>
        </w:trPr>
        <w:tc>
          <w:tcPr>
            <w:tcW w:w="3450" w:type="dxa"/>
            <w:tcBorders>
              <w:top w:val="nil"/>
              <w:left w:val="nil"/>
              <w:bottom w:val="nil"/>
              <w:right w:val="nil"/>
            </w:tcBorders>
            <w:shd w:val="clear" w:color="auto" w:fill="auto"/>
            <w:noWrap/>
            <w:vAlign w:val="bottom"/>
            <w:hideMark/>
          </w:tcPr>
          <w:p w14:paraId="61BF4763" w14:textId="77777777" w:rsidR="007166D2" w:rsidRPr="007166D2" w:rsidRDefault="007166D2" w:rsidP="007166D2">
            <w:pPr>
              <w:jc w:val="right"/>
              <w:rPr>
                <w:color w:val="000000"/>
                <w:sz w:val="20"/>
                <w:szCs w:val="20"/>
                <w:lang w:val="en-CA" w:eastAsia="en-CA"/>
              </w:rPr>
            </w:pPr>
          </w:p>
        </w:tc>
        <w:tc>
          <w:tcPr>
            <w:tcW w:w="1152" w:type="dxa"/>
            <w:tcBorders>
              <w:top w:val="nil"/>
              <w:left w:val="nil"/>
              <w:bottom w:val="nil"/>
              <w:right w:val="nil"/>
            </w:tcBorders>
            <w:shd w:val="clear" w:color="auto" w:fill="auto"/>
            <w:noWrap/>
            <w:vAlign w:val="bottom"/>
            <w:hideMark/>
          </w:tcPr>
          <w:p w14:paraId="022296D5" w14:textId="77777777" w:rsidR="007166D2" w:rsidRPr="007166D2" w:rsidRDefault="007166D2" w:rsidP="007166D2">
            <w:pPr>
              <w:rPr>
                <w:sz w:val="20"/>
                <w:szCs w:val="20"/>
                <w:lang w:val="en-CA" w:eastAsia="en-CA"/>
              </w:rPr>
            </w:pPr>
          </w:p>
        </w:tc>
        <w:tc>
          <w:tcPr>
            <w:tcW w:w="1152" w:type="dxa"/>
            <w:tcBorders>
              <w:top w:val="nil"/>
              <w:left w:val="nil"/>
              <w:bottom w:val="nil"/>
              <w:right w:val="nil"/>
            </w:tcBorders>
            <w:shd w:val="clear" w:color="auto" w:fill="auto"/>
            <w:noWrap/>
            <w:vAlign w:val="bottom"/>
            <w:hideMark/>
          </w:tcPr>
          <w:p w14:paraId="04011225" w14:textId="77777777" w:rsidR="007166D2" w:rsidRPr="007166D2" w:rsidRDefault="007166D2" w:rsidP="007166D2">
            <w:pPr>
              <w:rPr>
                <w:sz w:val="20"/>
                <w:szCs w:val="20"/>
                <w:lang w:val="en-CA" w:eastAsia="en-CA"/>
              </w:rPr>
            </w:pPr>
          </w:p>
        </w:tc>
        <w:tc>
          <w:tcPr>
            <w:tcW w:w="1294" w:type="dxa"/>
            <w:tcBorders>
              <w:top w:val="nil"/>
              <w:left w:val="nil"/>
              <w:bottom w:val="nil"/>
              <w:right w:val="nil"/>
            </w:tcBorders>
            <w:shd w:val="clear" w:color="auto" w:fill="auto"/>
            <w:noWrap/>
            <w:vAlign w:val="bottom"/>
            <w:hideMark/>
          </w:tcPr>
          <w:p w14:paraId="3821C1BA" w14:textId="77777777" w:rsidR="007166D2" w:rsidRPr="007166D2" w:rsidRDefault="007166D2" w:rsidP="007166D2">
            <w:pPr>
              <w:rPr>
                <w:sz w:val="20"/>
                <w:szCs w:val="20"/>
                <w:lang w:val="en-CA" w:eastAsia="en-CA"/>
              </w:rPr>
            </w:pPr>
          </w:p>
        </w:tc>
        <w:tc>
          <w:tcPr>
            <w:tcW w:w="1294" w:type="dxa"/>
            <w:tcBorders>
              <w:top w:val="nil"/>
              <w:left w:val="nil"/>
              <w:bottom w:val="nil"/>
              <w:right w:val="nil"/>
            </w:tcBorders>
            <w:shd w:val="clear" w:color="auto" w:fill="auto"/>
            <w:noWrap/>
            <w:vAlign w:val="bottom"/>
            <w:hideMark/>
          </w:tcPr>
          <w:p w14:paraId="0211D475" w14:textId="77777777" w:rsidR="007166D2" w:rsidRPr="007166D2" w:rsidRDefault="007166D2" w:rsidP="007166D2">
            <w:pPr>
              <w:rPr>
                <w:sz w:val="20"/>
                <w:szCs w:val="20"/>
                <w:lang w:val="en-CA" w:eastAsia="en-CA"/>
              </w:rPr>
            </w:pPr>
          </w:p>
        </w:tc>
        <w:tc>
          <w:tcPr>
            <w:tcW w:w="1098" w:type="dxa"/>
            <w:tcBorders>
              <w:top w:val="nil"/>
              <w:left w:val="nil"/>
              <w:bottom w:val="nil"/>
              <w:right w:val="nil"/>
            </w:tcBorders>
            <w:shd w:val="clear" w:color="auto" w:fill="auto"/>
            <w:noWrap/>
            <w:vAlign w:val="bottom"/>
            <w:hideMark/>
          </w:tcPr>
          <w:p w14:paraId="0110332C" w14:textId="77777777" w:rsidR="007166D2" w:rsidRPr="007166D2" w:rsidRDefault="007166D2" w:rsidP="007166D2">
            <w:pPr>
              <w:rPr>
                <w:sz w:val="20"/>
                <w:szCs w:val="20"/>
                <w:lang w:val="en-CA" w:eastAsia="en-CA"/>
              </w:rPr>
            </w:pPr>
          </w:p>
        </w:tc>
      </w:tr>
      <w:tr w:rsidR="007166D2" w:rsidRPr="007166D2" w14:paraId="5BF44407" w14:textId="77777777" w:rsidTr="007166D2">
        <w:trPr>
          <w:trHeight w:val="255"/>
        </w:trPr>
        <w:tc>
          <w:tcPr>
            <w:tcW w:w="3450" w:type="dxa"/>
            <w:tcBorders>
              <w:top w:val="nil"/>
              <w:left w:val="nil"/>
              <w:bottom w:val="nil"/>
              <w:right w:val="nil"/>
            </w:tcBorders>
            <w:shd w:val="clear" w:color="auto" w:fill="auto"/>
            <w:noWrap/>
            <w:vAlign w:val="bottom"/>
            <w:hideMark/>
          </w:tcPr>
          <w:p w14:paraId="250F73A5" w14:textId="77777777" w:rsidR="007166D2" w:rsidRPr="007166D2" w:rsidRDefault="007166D2" w:rsidP="007166D2">
            <w:pPr>
              <w:rPr>
                <w:color w:val="000000"/>
                <w:sz w:val="20"/>
                <w:szCs w:val="20"/>
                <w:lang w:val="en-CA" w:eastAsia="en-CA"/>
              </w:rPr>
            </w:pPr>
            <w:r w:rsidRPr="007166D2">
              <w:rPr>
                <w:color w:val="000000"/>
                <w:sz w:val="20"/>
                <w:szCs w:val="20"/>
                <w:lang w:val="en-CA" w:eastAsia="en-CA"/>
              </w:rPr>
              <w:t xml:space="preserve">All </w:t>
            </w:r>
            <w:proofErr w:type="gramStart"/>
            <w:r w:rsidRPr="007166D2">
              <w:rPr>
                <w:color w:val="000000"/>
                <w:sz w:val="20"/>
                <w:szCs w:val="20"/>
                <w:lang w:val="en-CA" w:eastAsia="en-CA"/>
              </w:rPr>
              <w:t>By</w:t>
            </w:r>
            <w:proofErr w:type="gramEnd"/>
            <w:r w:rsidRPr="007166D2">
              <w:rPr>
                <w:color w:val="000000"/>
                <w:sz w:val="20"/>
                <w:szCs w:val="20"/>
                <w:lang w:val="en-CA" w:eastAsia="en-CA"/>
              </w:rPr>
              <w:t xml:space="preserve"> Fund:</w:t>
            </w:r>
          </w:p>
        </w:tc>
        <w:tc>
          <w:tcPr>
            <w:tcW w:w="1152" w:type="dxa"/>
            <w:tcBorders>
              <w:top w:val="nil"/>
              <w:left w:val="nil"/>
              <w:bottom w:val="nil"/>
              <w:right w:val="nil"/>
            </w:tcBorders>
            <w:shd w:val="clear" w:color="auto" w:fill="auto"/>
            <w:noWrap/>
            <w:vAlign w:val="bottom"/>
            <w:hideMark/>
          </w:tcPr>
          <w:p w14:paraId="5CD43FA8" w14:textId="77777777" w:rsidR="007166D2" w:rsidRPr="007166D2" w:rsidRDefault="007166D2" w:rsidP="007166D2">
            <w:pPr>
              <w:rPr>
                <w:color w:val="000000"/>
                <w:sz w:val="20"/>
                <w:szCs w:val="20"/>
                <w:lang w:val="en-CA" w:eastAsia="en-CA"/>
              </w:rPr>
            </w:pPr>
          </w:p>
        </w:tc>
        <w:tc>
          <w:tcPr>
            <w:tcW w:w="1152" w:type="dxa"/>
            <w:tcBorders>
              <w:top w:val="nil"/>
              <w:left w:val="nil"/>
              <w:bottom w:val="nil"/>
              <w:right w:val="nil"/>
            </w:tcBorders>
            <w:shd w:val="clear" w:color="auto" w:fill="auto"/>
            <w:noWrap/>
            <w:vAlign w:val="bottom"/>
            <w:hideMark/>
          </w:tcPr>
          <w:p w14:paraId="559AEB25" w14:textId="77777777" w:rsidR="007166D2" w:rsidRPr="007166D2" w:rsidRDefault="007166D2" w:rsidP="007166D2">
            <w:pPr>
              <w:rPr>
                <w:sz w:val="20"/>
                <w:szCs w:val="20"/>
                <w:lang w:val="en-CA" w:eastAsia="en-CA"/>
              </w:rPr>
            </w:pPr>
          </w:p>
        </w:tc>
        <w:tc>
          <w:tcPr>
            <w:tcW w:w="1294" w:type="dxa"/>
            <w:tcBorders>
              <w:top w:val="nil"/>
              <w:left w:val="nil"/>
              <w:bottom w:val="nil"/>
              <w:right w:val="nil"/>
            </w:tcBorders>
            <w:shd w:val="clear" w:color="auto" w:fill="auto"/>
            <w:noWrap/>
            <w:vAlign w:val="bottom"/>
            <w:hideMark/>
          </w:tcPr>
          <w:p w14:paraId="333BBF7C" w14:textId="77777777" w:rsidR="007166D2" w:rsidRPr="007166D2" w:rsidRDefault="007166D2" w:rsidP="007166D2">
            <w:pPr>
              <w:rPr>
                <w:sz w:val="20"/>
                <w:szCs w:val="20"/>
                <w:lang w:val="en-CA" w:eastAsia="en-CA"/>
              </w:rPr>
            </w:pPr>
          </w:p>
        </w:tc>
        <w:tc>
          <w:tcPr>
            <w:tcW w:w="1294" w:type="dxa"/>
            <w:tcBorders>
              <w:top w:val="nil"/>
              <w:left w:val="nil"/>
              <w:bottom w:val="nil"/>
              <w:right w:val="nil"/>
            </w:tcBorders>
            <w:shd w:val="clear" w:color="auto" w:fill="auto"/>
            <w:noWrap/>
            <w:vAlign w:val="bottom"/>
            <w:hideMark/>
          </w:tcPr>
          <w:p w14:paraId="162DD81C" w14:textId="77777777" w:rsidR="007166D2" w:rsidRPr="007166D2" w:rsidRDefault="007166D2" w:rsidP="007166D2">
            <w:pPr>
              <w:rPr>
                <w:sz w:val="20"/>
                <w:szCs w:val="20"/>
                <w:lang w:val="en-CA" w:eastAsia="en-CA"/>
              </w:rPr>
            </w:pPr>
          </w:p>
        </w:tc>
        <w:tc>
          <w:tcPr>
            <w:tcW w:w="1098" w:type="dxa"/>
            <w:tcBorders>
              <w:top w:val="nil"/>
              <w:left w:val="nil"/>
              <w:bottom w:val="nil"/>
              <w:right w:val="nil"/>
            </w:tcBorders>
            <w:shd w:val="clear" w:color="auto" w:fill="auto"/>
            <w:noWrap/>
            <w:vAlign w:val="bottom"/>
            <w:hideMark/>
          </w:tcPr>
          <w:p w14:paraId="77C85866" w14:textId="77777777" w:rsidR="007166D2" w:rsidRPr="007166D2" w:rsidRDefault="007166D2" w:rsidP="007166D2">
            <w:pPr>
              <w:rPr>
                <w:sz w:val="20"/>
                <w:szCs w:val="20"/>
                <w:lang w:val="en-CA" w:eastAsia="en-CA"/>
              </w:rPr>
            </w:pPr>
          </w:p>
        </w:tc>
      </w:tr>
      <w:tr w:rsidR="007166D2" w:rsidRPr="007166D2" w14:paraId="5160E420" w14:textId="77777777" w:rsidTr="007166D2">
        <w:trPr>
          <w:trHeight w:val="255"/>
        </w:trPr>
        <w:tc>
          <w:tcPr>
            <w:tcW w:w="3450" w:type="dxa"/>
            <w:tcBorders>
              <w:top w:val="nil"/>
              <w:left w:val="nil"/>
              <w:bottom w:val="nil"/>
              <w:right w:val="nil"/>
            </w:tcBorders>
            <w:shd w:val="clear" w:color="auto" w:fill="auto"/>
            <w:noWrap/>
            <w:vAlign w:val="bottom"/>
            <w:hideMark/>
          </w:tcPr>
          <w:p w14:paraId="44E2ADDD" w14:textId="77777777" w:rsidR="007166D2" w:rsidRPr="007166D2" w:rsidRDefault="007166D2" w:rsidP="007166D2">
            <w:pPr>
              <w:rPr>
                <w:color w:val="000000"/>
                <w:sz w:val="20"/>
                <w:szCs w:val="20"/>
                <w:lang w:val="en-CA" w:eastAsia="en-CA"/>
              </w:rPr>
            </w:pPr>
            <w:r w:rsidRPr="007166D2">
              <w:rPr>
                <w:color w:val="000000"/>
                <w:sz w:val="20"/>
                <w:szCs w:val="20"/>
                <w:lang w:val="en-CA" w:eastAsia="en-CA"/>
              </w:rPr>
              <w:t xml:space="preserve"> TOTAL Operating Fund (incl Marmor)</w:t>
            </w:r>
          </w:p>
        </w:tc>
        <w:tc>
          <w:tcPr>
            <w:tcW w:w="1152" w:type="dxa"/>
            <w:tcBorders>
              <w:top w:val="nil"/>
              <w:left w:val="nil"/>
              <w:bottom w:val="nil"/>
              <w:right w:val="nil"/>
            </w:tcBorders>
            <w:shd w:val="clear" w:color="auto" w:fill="auto"/>
            <w:noWrap/>
            <w:vAlign w:val="bottom"/>
            <w:hideMark/>
          </w:tcPr>
          <w:p w14:paraId="4734D1A6"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531,735.02</w:t>
            </w:r>
          </w:p>
        </w:tc>
        <w:tc>
          <w:tcPr>
            <w:tcW w:w="1152" w:type="dxa"/>
            <w:tcBorders>
              <w:top w:val="nil"/>
              <w:left w:val="nil"/>
              <w:bottom w:val="nil"/>
              <w:right w:val="nil"/>
            </w:tcBorders>
            <w:shd w:val="clear" w:color="auto" w:fill="auto"/>
            <w:noWrap/>
            <w:vAlign w:val="bottom"/>
            <w:hideMark/>
          </w:tcPr>
          <w:p w14:paraId="505BA964"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546,872.30</w:t>
            </w:r>
          </w:p>
        </w:tc>
        <w:tc>
          <w:tcPr>
            <w:tcW w:w="1294" w:type="dxa"/>
            <w:tcBorders>
              <w:top w:val="nil"/>
              <w:left w:val="nil"/>
              <w:bottom w:val="nil"/>
              <w:right w:val="nil"/>
            </w:tcBorders>
            <w:shd w:val="clear" w:color="auto" w:fill="auto"/>
            <w:noWrap/>
            <w:vAlign w:val="bottom"/>
            <w:hideMark/>
          </w:tcPr>
          <w:p w14:paraId="677E443B"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695,855.36</w:t>
            </w:r>
          </w:p>
        </w:tc>
        <w:tc>
          <w:tcPr>
            <w:tcW w:w="1294" w:type="dxa"/>
            <w:tcBorders>
              <w:top w:val="nil"/>
              <w:left w:val="nil"/>
              <w:bottom w:val="nil"/>
              <w:right w:val="nil"/>
            </w:tcBorders>
            <w:shd w:val="clear" w:color="auto" w:fill="auto"/>
            <w:noWrap/>
            <w:vAlign w:val="bottom"/>
            <w:hideMark/>
          </w:tcPr>
          <w:p w14:paraId="720C82A4"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157,875.00</w:t>
            </w:r>
          </w:p>
        </w:tc>
        <w:tc>
          <w:tcPr>
            <w:tcW w:w="1098" w:type="dxa"/>
            <w:tcBorders>
              <w:top w:val="nil"/>
              <w:left w:val="nil"/>
              <w:bottom w:val="nil"/>
              <w:right w:val="nil"/>
            </w:tcBorders>
            <w:shd w:val="clear" w:color="auto" w:fill="auto"/>
            <w:noWrap/>
            <w:vAlign w:val="bottom"/>
            <w:hideMark/>
          </w:tcPr>
          <w:p w14:paraId="64FCCD67" w14:textId="77777777" w:rsidR="007166D2" w:rsidRPr="007166D2" w:rsidRDefault="007166D2" w:rsidP="007166D2">
            <w:pPr>
              <w:jc w:val="right"/>
              <w:rPr>
                <w:color w:val="000000"/>
                <w:sz w:val="20"/>
                <w:szCs w:val="20"/>
                <w:lang w:val="en-CA" w:eastAsia="en-CA"/>
              </w:rPr>
            </w:pPr>
          </w:p>
        </w:tc>
      </w:tr>
      <w:tr w:rsidR="007166D2" w:rsidRPr="007166D2" w14:paraId="1D7FCC11" w14:textId="77777777" w:rsidTr="007166D2">
        <w:trPr>
          <w:trHeight w:val="255"/>
        </w:trPr>
        <w:tc>
          <w:tcPr>
            <w:tcW w:w="3450" w:type="dxa"/>
            <w:tcBorders>
              <w:top w:val="nil"/>
              <w:left w:val="nil"/>
              <w:bottom w:val="nil"/>
              <w:right w:val="nil"/>
            </w:tcBorders>
            <w:shd w:val="clear" w:color="auto" w:fill="auto"/>
            <w:noWrap/>
            <w:vAlign w:val="bottom"/>
            <w:hideMark/>
          </w:tcPr>
          <w:p w14:paraId="0D1C7532" w14:textId="77777777" w:rsidR="007166D2" w:rsidRPr="007166D2" w:rsidRDefault="007166D2" w:rsidP="007166D2">
            <w:pPr>
              <w:rPr>
                <w:color w:val="000000"/>
                <w:sz w:val="20"/>
                <w:szCs w:val="20"/>
                <w:lang w:val="en-CA" w:eastAsia="en-CA"/>
              </w:rPr>
            </w:pPr>
            <w:r w:rsidRPr="007166D2">
              <w:rPr>
                <w:color w:val="000000"/>
                <w:sz w:val="20"/>
                <w:szCs w:val="20"/>
                <w:lang w:val="en-CA" w:eastAsia="en-CA"/>
              </w:rPr>
              <w:t xml:space="preserve"> TOTAL CFMU Fund</w:t>
            </w:r>
          </w:p>
        </w:tc>
        <w:tc>
          <w:tcPr>
            <w:tcW w:w="1152" w:type="dxa"/>
            <w:tcBorders>
              <w:top w:val="nil"/>
              <w:left w:val="nil"/>
              <w:bottom w:val="nil"/>
              <w:right w:val="nil"/>
            </w:tcBorders>
            <w:shd w:val="clear" w:color="auto" w:fill="auto"/>
            <w:noWrap/>
            <w:vAlign w:val="bottom"/>
            <w:hideMark/>
          </w:tcPr>
          <w:p w14:paraId="17C8C347"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104,654.25</w:t>
            </w:r>
          </w:p>
        </w:tc>
        <w:tc>
          <w:tcPr>
            <w:tcW w:w="1152" w:type="dxa"/>
            <w:tcBorders>
              <w:top w:val="nil"/>
              <w:left w:val="nil"/>
              <w:bottom w:val="nil"/>
              <w:right w:val="nil"/>
            </w:tcBorders>
            <w:shd w:val="clear" w:color="auto" w:fill="auto"/>
            <w:noWrap/>
            <w:vAlign w:val="bottom"/>
            <w:hideMark/>
          </w:tcPr>
          <w:p w14:paraId="0BF8328B"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104,527.90</w:t>
            </w:r>
          </w:p>
        </w:tc>
        <w:tc>
          <w:tcPr>
            <w:tcW w:w="1294" w:type="dxa"/>
            <w:tcBorders>
              <w:top w:val="nil"/>
              <w:left w:val="nil"/>
              <w:bottom w:val="nil"/>
              <w:right w:val="nil"/>
            </w:tcBorders>
            <w:shd w:val="clear" w:color="auto" w:fill="auto"/>
            <w:noWrap/>
            <w:vAlign w:val="bottom"/>
            <w:hideMark/>
          </w:tcPr>
          <w:p w14:paraId="4BB7B75E"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67,858.85</w:t>
            </w:r>
          </w:p>
        </w:tc>
        <w:tc>
          <w:tcPr>
            <w:tcW w:w="1294" w:type="dxa"/>
            <w:tcBorders>
              <w:top w:val="nil"/>
              <w:left w:val="nil"/>
              <w:bottom w:val="nil"/>
              <w:right w:val="nil"/>
            </w:tcBorders>
            <w:shd w:val="clear" w:color="auto" w:fill="auto"/>
            <w:noWrap/>
            <w:vAlign w:val="bottom"/>
            <w:hideMark/>
          </w:tcPr>
          <w:p w14:paraId="620265D1"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16,600.00</w:t>
            </w:r>
          </w:p>
        </w:tc>
        <w:tc>
          <w:tcPr>
            <w:tcW w:w="1098" w:type="dxa"/>
            <w:tcBorders>
              <w:top w:val="nil"/>
              <w:left w:val="nil"/>
              <w:bottom w:val="nil"/>
              <w:right w:val="nil"/>
            </w:tcBorders>
            <w:shd w:val="clear" w:color="auto" w:fill="auto"/>
            <w:noWrap/>
            <w:vAlign w:val="bottom"/>
            <w:hideMark/>
          </w:tcPr>
          <w:p w14:paraId="1108E682" w14:textId="77777777" w:rsidR="007166D2" w:rsidRPr="007166D2" w:rsidRDefault="007166D2" w:rsidP="007166D2">
            <w:pPr>
              <w:jc w:val="right"/>
              <w:rPr>
                <w:color w:val="000000"/>
                <w:sz w:val="20"/>
                <w:szCs w:val="20"/>
                <w:lang w:val="en-CA" w:eastAsia="en-CA"/>
              </w:rPr>
            </w:pPr>
          </w:p>
        </w:tc>
      </w:tr>
      <w:tr w:rsidR="007166D2" w:rsidRPr="007166D2" w14:paraId="7A33AD8E" w14:textId="77777777" w:rsidTr="007166D2">
        <w:trPr>
          <w:trHeight w:val="255"/>
        </w:trPr>
        <w:tc>
          <w:tcPr>
            <w:tcW w:w="3450" w:type="dxa"/>
            <w:tcBorders>
              <w:top w:val="nil"/>
              <w:left w:val="nil"/>
              <w:bottom w:val="nil"/>
              <w:right w:val="nil"/>
            </w:tcBorders>
            <w:shd w:val="clear" w:color="auto" w:fill="auto"/>
            <w:noWrap/>
            <w:vAlign w:val="bottom"/>
            <w:hideMark/>
          </w:tcPr>
          <w:p w14:paraId="4AC45C8D" w14:textId="77777777" w:rsidR="007166D2" w:rsidRPr="007166D2" w:rsidRDefault="007166D2" w:rsidP="007166D2">
            <w:pPr>
              <w:rPr>
                <w:color w:val="000000"/>
                <w:sz w:val="20"/>
                <w:szCs w:val="20"/>
                <w:lang w:val="en-CA" w:eastAsia="en-CA"/>
              </w:rPr>
            </w:pPr>
            <w:r w:rsidRPr="007166D2">
              <w:rPr>
                <w:color w:val="000000"/>
                <w:sz w:val="20"/>
                <w:szCs w:val="20"/>
                <w:lang w:val="en-CA" w:eastAsia="en-CA"/>
              </w:rPr>
              <w:t xml:space="preserve"> TOTAL Student Health Plan Fund</w:t>
            </w:r>
          </w:p>
        </w:tc>
        <w:tc>
          <w:tcPr>
            <w:tcW w:w="1152" w:type="dxa"/>
            <w:tcBorders>
              <w:top w:val="nil"/>
              <w:left w:val="nil"/>
              <w:bottom w:val="nil"/>
              <w:right w:val="nil"/>
            </w:tcBorders>
            <w:shd w:val="clear" w:color="auto" w:fill="auto"/>
            <w:noWrap/>
            <w:vAlign w:val="bottom"/>
            <w:hideMark/>
          </w:tcPr>
          <w:p w14:paraId="6A1F65C9"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550,549.66</w:t>
            </w:r>
          </w:p>
        </w:tc>
        <w:tc>
          <w:tcPr>
            <w:tcW w:w="1152" w:type="dxa"/>
            <w:tcBorders>
              <w:top w:val="nil"/>
              <w:left w:val="nil"/>
              <w:bottom w:val="nil"/>
              <w:right w:val="nil"/>
            </w:tcBorders>
            <w:shd w:val="clear" w:color="auto" w:fill="auto"/>
            <w:noWrap/>
            <w:vAlign w:val="bottom"/>
            <w:hideMark/>
          </w:tcPr>
          <w:p w14:paraId="5190C4AF"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461,254.48</w:t>
            </w:r>
          </w:p>
        </w:tc>
        <w:tc>
          <w:tcPr>
            <w:tcW w:w="1294" w:type="dxa"/>
            <w:tcBorders>
              <w:top w:val="nil"/>
              <w:left w:val="nil"/>
              <w:bottom w:val="nil"/>
              <w:right w:val="nil"/>
            </w:tcBorders>
            <w:shd w:val="clear" w:color="auto" w:fill="auto"/>
            <w:noWrap/>
            <w:vAlign w:val="bottom"/>
            <w:hideMark/>
          </w:tcPr>
          <w:p w14:paraId="39D6404C"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(284,053.48)</w:t>
            </w:r>
          </w:p>
        </w:tc>
        <w:tc>
          <w:tcPr>
            <w:tcW w:w="1294" w:type="dxa"/>
            <w:tcBorders>
              <w:top w:val="nil"/>
              <w:left w:val="nil"/>
              <w:bottom w:val="nil"/>
              <w:right w:val="nil"/>
            </w:tcBorders>
            <w:shd w:val="clear" w:color="auto" w:fill="auto"/>
            <w:noWrap/>
            <w:vAlign w:val="bottom"/>
            <w:hideMark/>
          </w:tcPr>
          <w:p w14:paraId="6B6D6B77"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(175,250.00)</w:t>
            </w:r>
          </w:p>
        </w:tc>
        <w:tc>
          <w:tcPr>
            <w:tcW w:w="1098" w:type="dxa"/>
            <w:tcBorders>
              <w:top w:val="nil"/>
              <w:left w:val="nil"/>
              <w:bottom w:val="nil"/>
              <w:right w:val="nil"/>
            </w:tcBorders>
            <w:shd w:val="clear" w:color="auto" w:fill="auto"/>
            <w:noWrap/>
            <w:vAlign w:val="bottom"/>
            <w:hideMark/>
          </w:tcPr>
          <w:p w14:paraId="5FC0957C" w14:textId="77777777" w:rsidR="007166D2" w:rsidRPr="007166D2" w:rsidRDefault="007166D2" w:rsidP="007166D2">
            <w:pPr>
              <w:jc w:val="right"/>
              <w:rPr>
                <w:color w:val="000000"/>
                <w:sz w:val="20"/>
                <w:szCs w:val="20"/>
                <w:lang w:val="en-CA" w:eastAsia="en-CA"/>
              </w:rPr>
            </w:pPr>
          </w:p>
        </w:tc>
      </w:tr>
      <w:tr w:rsidR="007166D2" w:rsidRPr="007166D2" w14:paraId="431E0B64" w14:textId="77777777" w:rsidTr="007166D2">
        <w:trPr>
          <w:trHeight w:val="255"/>
        </w:trPr>
        <w:tc>
          <w:tcPr>
            <w:tcW w:w="3450" w:type="dxa"/>
            <w:tcBorders>
              <w:top w:val="nil"/>
              <w:left w:val="nil"/>
              <w:bottom w:val="nil"/>
              <w:right w:val="nil"/>
            </w:tcBorders>
            <w:shd w:val="clear" w:color="auto" w:fill="auto"/>
            <w:noWrap/>
            <w:vAlign w:val="bottom"/>
            <w:hideMark/>
          </w:tcPr>
          <w:p w14:paraId="2B9615ED" w14:textId="77777777" w:rsidR="007166D2" w:rsidRPr="007166D2" w:rsidRDefault="007166D2" w:rsidP="007166D2">
            <w:pPr>
              <w:rPr>
                <w:color w:val="000000"/>
                <w:sz w:val="20"/>
                <w:szCs w:val="20"/>
                <w:lang w:val="en-CA" w:eastAsia="en-CA"/>
              </w:rPr>
            </w:pPr>
            <w:r w:rsidRPr="007166D2">
              <w:rPr>
                <w:color w:val="000000"/>
                <w:sz w:val="20"/>
                <w:szCs w:val="20"/>
                <w:lang w:val="en-CA" w:eastAsia="en-CA"/>
              </w:rPr>
              <w:t xml:space="preserve"> TOTAL Dental Plan Fund</w:t>
            </w:r>
          </w:p>
        </w:tc>
        <w:tc>
          <w:tcPr>
            <w:tcW w:w="1152" w:type="dxa"/>
            <w:tcBorders>
              <w:top w:val="nil"/>
              <w:left w:val="nil"/>
              <w:bottom w:val="nil"/>
              <w:right w:val="nil"/>
            </w:tcBorders>
            <w:shd w:val="clear" w:color="auto" w:fill="auto"/>
            <w:noWrap/>
            <w:vAlign w:val="bottom"/>
            <w:hideMark/>
          </w:tcPr>
          <w:p w14:paraId="37D3E9F5"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661,804.93</w:t>
            </w:r>
          </w:p>
        </w:tc>
        <w:tc>
          <w:tcPr>
            <w:tcW w:w="1152" w:type="dxa"/>
            <w:tcBorders>
              <w:top w:val="nil"/>
              <w:left w:val="nil"/>
              <w:bottom w:val="nil"/>
              <w:right w:val="nil"/>
            </w:tcBorders>
            <w:shd w:val="clear" w:color="auto" w:fill="auto"/>
            <w:noWrap/>
            <w:vAlign w:val="bottom"/>
            <w:hideMark/>
          </w:tcPr>
          <w:p w14:paraId="57C33312"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568,427.81</w:t>
            </w:r>
          </w:p>
        </w:tc>
        <w:tc>
          <w:tcPr>
            <w:tcW w:w="1294" w:type="dxa"/>
            <w:tcBorders>
              <w:top w:val="nil"/>
              <w:left w:val="nil"/>
              <w:bottom w:val="nil"/>
              <w:right w:val="nil"/>
            </w:tcBorders>
            <w:shd w:val="clear" w:color="auto" w:fill="auto"/>
            <w:noWrap/>
            <w:vAlign w:val="bottom"/>
            <w:hideMark/>
          </w:tcPr>
          <w:p w14:paraId="768B15EC"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1,221.37</w:t>
            </w:r>
          </w:p>
        </w:tc>
        <w:tc>
          <w:tcPr>
            <w:tcW w:w="1294" w:type="dxa"/>
            <w:tcBorders>
              <w:top w:val="nil"/>
              <w:left w:val="nil"/>
              <w:bottom w:val="nil"/>
              <w:right w:val="nil"/>
            </w:tcBorders>
            <w:shd w:val="clear" w:color="auto" w:fill="auto"/>
            <w:noWrap/>
            <w:vAlign w:val="bottom"/>
            <w:hideMark/>
          </w:tcPr>
          <w:p w14:paraId="50D4FD83"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(70,650.00)</w:t>
            </w:r>
          </w:p>
        </w:tc>
        <w:tc>
          <w:tcPr>
            <w:tcW w:w="1098" w:type="dxa"/>
            <w:tcBorders>
              <w:top w:val="nil"/>
              <w:left w:val="nil"/>
              <w:bottom w:val="nil"/>
              <w:right w:val="nil"/>
            </w:tcBorders>
            <w:shd w:val="clear" w:color="auto" w:fill="auto"/>
            <w:noWrap/>
            <w:vAlign w:val="bottom"/>
            <w:hideMark/>
          </w:tcPr>
          <w:p w14:paraId="160E7152" w14:textId="77777777" w:rsidR="007166D2" w:rsidRPr="007166D2" w:rsidRDefault="007166D2" w:rsidP="007166D2">
            <w:pPr>
              <w:jc w:val="right"/>
              <w:rPr>
                <w:color w:val="000000"/>
                <w:sz w:val="20"/>
                <w:szCs w:val="20"/>
                <w:lang w:val="en-CA" w:eastAsia="en-CA"/>
              </w:rPr>
            </w:pPr>
          </w:p>
        </w:tc>
      </w:tr>
      <w:tr w:rsidR="007166D2" w:rsidRPr="007166D2" w14:paraId="6909F69C" w14:textId="77777777" w:rsidTr="007166D2">
        <w:trPr>
          <w:trHeight w:val="255"/>
        </w:trPr>
        <w:tc>
          <w:tcPr>
            <w:tcW w:w="3450" w:type="dxa"/>
            <w:tcBorders>
              <w:top w:val="nil"/>
              <w:left w:val="nil"/>
              <w:bottom w:val="nil"/>
              <w:right w:val="nil"/>
            </w:tcBorders>
            <w:shd w:val="clear" w:color="auto" w:fill="auto"/>
            <w:noWrap/>
            <w:vAlign w:val="bottom"/>
            <w:hideMark/>
          </w:tcPr>
          <w:p w14:paraId="72A7C26F" w14:textId="77777777" w:rsidR="007166D2" w:rsidRPr="007166D2" w:rsidRDefault="007166D2" w:rsidP="007166D2">
            <w:pPr>
              <w:rPr>
                <w:color w:val="000000"/>
                <w:sz w:val="20"/>
                <w:szCs w:val="20"/>
                <w:lang w:val="en-CA" w:eastAsia="en-CA"/>
              </w:rPr>
            </w:pPr>
            <w:r w:rsidRPr="007166D2">
              <w:rPr>
                <w:color w:val="000000"/>
                <w:sz w:val="20"/>
                <w:szCs w:val="20"/>
                <w:lang w:val="en-CA" w:eastAsia="en-CA"/>
              </w:rPr>
              <w:t xml:space="preserve"> TOTAL Building Fund </w:t>
            </w:r>
          </w:p>
        </w:tc>
        <w:tc>
          <w:tcPr>
            <w:tcW w:w="1152" w:type="dxa"/>
            <w:tcBorders>
              <w:top w:val="nil"/>
              <w:left w:val="nil"/>
              <w:bottom w:val="nil"/>
              <w:right w:val="nil"/>
            </w:tcBorders>
            <w:shd w:val="clear" w:color="auto" w:fill="auto"/>
            <w:noWrap/>
            <w:vAlign w:val="bottom"/>
            <w:hideMark/>
          </w:tcPr>
          <w:p w14:paraId="28DB04A0"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0.00</w:t>
            </w:r>
          </w:p>
        </w:tc>
        <w:tc>
          <w:tcPr>
            <w:tcW w:w="1152" w:type="dxa"/>
            <w:tcBorders>
              <w:top w:val="nil"/>
              <w:left w:val="nil"/>
              <w:bottom w:val="nil"/>
              <w:right w:val="nil"/>
            </w:tcBorders>
            <w:shd w:val="clear" w:color="auto" w:fill="auto"/>
            <w:noWrap/>
            <w:vAlign w:val="bottom"/>
            <w:hideMark/>
          </w:tcPr>
          <w:p w14:paraId="754D41F8"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0.00</w:t>
            </w:r>
          </w:p>
        </w:tc>
        <w:tc>
          <w:tcPr>
            <w:tcW w:w="1294" w:type="dxa"/>
            <w:tcBorders>
              <w:top w:val="nil"/>
              <w:left w:val="nil"/>
              <w:bottom w:val="nil"/>
              <w:right w:val="nil"/>
            </w:tcBorders>
            <w:shd w:val="clear" w:color="auto" w:fill="auto"/>
            <w:noWrap/>
            <w:vAlign w:val="bottom"/>
            <w:hideMark/>
          </w:tcPr>
          <w:p w14:paraId="2FE8AAC0"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(111,367.52)</w:t>
            </w:r>
          </w:p>
        </w:tc>
        <w:tc>
          <w:tcPr>
            <w:tcW w:w="1294" w:type="dxa"/>
            <w:tcBorders>
              <w:top w:val="nil"/>
              <w:left w:val="nil"/>
              <w:bottom w:val="nil"/>
              <w:right w:val="nil"/>
            </w:tcBorders>
            <w:shd w:val="clear" w:color="auto" w:fill="auto"/>
            <w:noWrap/>
            <w:vAlign w:val="bottom"/>
            <w:hideMark/>
          </w:tcPr>
          <w:p w14:paraId="0BEB51B5"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(62,655.00)</w:t>
            </w:r>
          </w:p>
        </w:tc>
        <w:tc>
          <w:tcPr>
            <w:tcW w:w="1098" w:type="dxa"/>
            <w:tcBorders>
              <w:top w:val="nil"/>
              <w:left w:val="nil"/>
              <w:bottom w:val="nil"/>
              <w:right w:val="nil"/>
            </w:tcBorders>
            <w:shd w:val="clear" w:color="auto" w:fill="auto"/>
            <w:noWrap/>
            <w:vAlign w:val="bottom"/>
            <w:hideMark/>
          </w:tcPr>
          <w:p w14:paraId="5DAA4AF1" w14:textId="77777777" w:rsidR="007166D2" w:rsidRPr="007166D2" w:rsidRDefault="007166D2" w:rsidP="007166D2">
            <w:pPr>
              <w:jc w:val="right"/>
              <w:rPr>
                <w:color w:val="000000"/>
                <w:sz w:val="20"/>
                <w:szCs w:val="20"/>
                <w:lang w:val="en-CA" w:eastAsia="en-CA"/>
              </w:rPr>
            </w:pPr>
          </w:p>
        </w:tc>
      </w:tr>
      <w:tr w:rsidR="007166D2" w:rsidRPr="007166D2" w14:paraId="7FFCB882" w14:textId="77777777" w:rsidTr="007166D2">
        <w:trPr>
          <w:trHeight w:val="360"/>
        </w:trPr>
        <w:tc>
          <w:tcPr>
            <w:tcW w:w="3450" w:type="dxa"/>
            <w:tcBorders>
              <w:top w:val="nil"/>
              <w:left w:val="nil"/>
              <w:bottom w:val="nil"/>
              <w:right w:val="nil"/>
            </w:tcBorders>
            <w:shd w:val="clear" w:color="auto" w:fill="auto"/>
            <w:noWrap/>
            <w:vAlign w:val="bottom"/>
            <w:hideMark/>
          </w:tcPr>
          <w:p w14:paraId="3E46B090" w14:textId="77777777" w:rsidR="007166D2" w:rsidRPr="007166D2" w:rsidRDefault="007166D2" w:rsidP="007166D2">
            <w:pPr>
              <w:rPr>
                <w:color w:val="000000"/>
                <w:sz w:val="20"/>
                <w:szCs w:val="20"/>
                <w:lang w:val="en-CA" w:eastAsia="en-CA"/>
              </w:rPr>
            </w:pPr>
            <w:r w:rsidRPr="007166D2">
              <w:rPr>
                <w:color w:val="000000"/>
                <w:sz w:val="20"/>
                <w:szCs w:val="20"/>
                <w:lang w:val="en-CA" w:eastAsia="en-CA"/>
              </w:rPr>
              <w:t xml:space="preserve">   Total All</w:t>
            </w:r>
          </w:p>
        </w:tc>
        <w:tc>
          <w:tcPr>
            <w:tcW w:w="1152" w:type="dxa"/>
            <w:tcBorders>
              <w:top w:val="single" w:sz="4" w:space="0" w:color="auto"/>
              <w:left w:val="nil"/>
              <w:bottom w:val="double" w:sz="6" w:space="0" w:color="auto"/>
              <w:right w:val="nil"/>
            </w:tcBorders>
            <w:shd w:val="clear" w:color="auto" w:fill="auto"/>
            <w:noWrap/>
            <w:vAlign w:val="bottom"/>
            <w:hideMark/>
          </w:tcPr>
          <w:p w14:paraId="38F061C0"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1,848,743.86</w:t>
            </w:r>
          </w:p>
        </w:tc>
        <w:tc>
          <w:tcPr>
            <w:tcW w:w="1152" w:type="dxa"/>
            <w:tcBorders>
              <w:top w:val="single" w:sz="4" w:space="0" w:color="auto"/>
              <w:left w:val="nil"/>
              <w:bottom w:val="double" w:sz="6" w:space="0" w:color="auto"/>
              <w:right w:val="nil"/>
            </w:tcBorders>
            <w:shd w:val="clear" w:color="auto" w:fill="auto"/>
            <w:noWrap/>
            <w:vAlign w:val="bottom"/>
            <w:hideMark/>
          </w:tcPr>
          <w:p w14:paraId="78E2C9A1"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1,681,082.49</w:t>
            </w:r>
          </w:p>
        </w:tc>
        <w:tc>
          <w:tcPr>
            <w:tcW w:w="1294" w:type="dxa"/>
            <w:tcBorders>
              <w:top w:val="single" w:sz="4" w:space="0" w:color="auto"/>
              <w:left w:val="nil"/>
              <w:bottom w:val="double" w:sz="6" w:space="0" w:color="auto"/>
              <w:right w:val="nil"/>
            </w:tcBorders>
            <w:shd w:val="clear" w:color="auto" w:fill="auto"/>
            <w:noWrap/>
            <w:vAlign w:val="bottom"/>
            <w:hideMark/>
          </w:tcPr>
          <w:p w14:paraId="2F5E1F40"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369,514.58</w:t>
            </w:r>
          </w:p>
        </w:tc>
        <w:tc>
          <w:tcPr>
            <w:tcW w:w="1294" w:type="dxa"/>
            <w:tcBorders>
              <w:top w:val="single" w:sz="4" w:space="0" w:color="auto"/>
              <w:left w:val="nil"/>
              <w:bottom w:val="double" w:sz="6" w:space="0" w:color="auto"/>
              <w:right w:val="nil"/>
            </w:tcBorders>
            <w:shd w:val="clear" w:color="auto" w:fill="auto"/>
            <w:noWrap/>
            <w:vAlign w:val="bottom"/>
            <w:hideMark/>
          </w:tcPr>
          <w:p w14:paraId="48E1942B" w14:textId="77777777" w:rsidR="007166D2" w:rsidRPr="007166D2" w:rsidRDefault="007166D2" w:rsidP="007166D2">
            <w:pPr>
              <w:jc w:val="right"/>
              <w:rPr>
                <w:color w:val="000000"/>
                <w:sz w:val="20"/>
                <w:szCs w:val="20"/>
                <w:lang w:val="en-CA" w:eastAsia="en-CA"/>
              </w:rPr>
            </w:pPr>
            <w:r w:rsidRPr="007166D2">
              <w:rPr>
                <w:color w:val="000000"/>
                <w:sz w:val="20"/>
                <w:szCs w:val="20"/>
                <w:lang w:val="en-CA" w:eastAsia="en-CA"/>
              </w:rPr>
              <w:t>(134,080.00)</w:t>
            </w:r>
          </w:p>
        </w:tc>
        <w:tc>
          <w:tcPr>
            <w:tcW w:w="1098" w:type="dxa"/>
            <w:tcBorders>
              <w:top w:val="nil"/>
              <w:left w:val="nil"/>
              <w:bottom w:val="nil"/>
              <w:right w:val="nil"/>
            </w:tcBorders>
            <w:shd w:val="clear" w:color="auto" w:fill="auto"/>
            <w:noWrap/>
            <w:vAlign w:val="bottom"/>
            <w:hideMark/>
          </w:tcPr>
          <w:p w14:paraId="10FE1F20" w14:textId="77777777" w:rsidR="007166D2" w:rsidRPr="007166D2" w:rsidRDefault="007166D2" w:rsidP="007166D2">
            <w:pPr>
              <w:jc w:val="right"/>
              <w:rPr>
                <w:color w:val="000000"/>
                <w:sz w:val="20"/>
                <w:szCs w:val="20"/>
                <w:lang w:val="en-CA" w:eastAsia="en-CA"/>
              </w:rPr>
            </w:pPr>
          </w:p>
        </w:tc>
      </w:tr>
    </w:tbl>
    <w:p w14:paraId="0D9EB3CF" w14:textId="104F687A" w:rsidR="008B6B1A" w:rsidRDefault="008B6B1A" w:rsidP="00866654">
      <w:pPr>
        <w:rPr>
          <w:sz w:val="22"/>
          <w:szCs w:val="22"/>
        </w:rPr>
      </w:pPr>
      <w:bookmarkStart w:id="9" w:name="_GoBack"/>
      <w:bookmarkEnd w:id="9"/>
    </w:p>
    <w:p w14:paraId="5167CEBC" w14:textId="1672E7E7" w:rsidR="00702E24" w:rsidRDefault="00702E24" w:rsidP="00866654">
      <w:pPr>
        <w:rPr>
          <w:sz w:val="22"/>
          <w:szCs w:val="22"/>
        </w:rPr>
      </w:pPr>
    </w:p>
    <w:p w14:paraId="1D0D101F" w14:textId="19303135" w:rsidR="00702E24" w:rsidRDefault="00702E24" w:rsidP="00866654">
      <w:pPr>
        <w:rPr>
          <w:sz w:val="22"/>
          <w:szCs w:val="22"/>
        </w:rPr>
      </w:pPr>
    </w:p>
    <w:p w14:paraId="68DC7DB7" w14:textId="6DCFCFE9" w:rsidR="00702E24" w:rsidRDefault="00702E24" w:rsidP="00866654">
      <w:pPr>
        <w:rPr>
          <w:sz w:val="22"/>
          <w:szCs w:val="22"/>
        </w:rPr>
      </w:pPr>
    </w:p>
    <w:p w14:paraId="58681634" w14:textId="77777777" w:rsidR="00702E24" w:rsidRDefault="00702E24" w:rsidP="00866654">
      <w:pPr>
        <w:rPr>
          <w:sz w:val="22"/>
          <w:szCs w:val="22"/>
        </w:rPr>
      </w:pPr>
    </w:p>
    <w:p w14:paraId="2FC8E115" w14:textId="77777777" w:rsidR="00F869FD" w:rsidRDefault="00672E11" w:rsidP="008E61C2">
      <w:pPr>
        <w:rPr>
          <w:sz w:val="22"/>
          <w:szCs w:val="22"/>
        </w:rPr>
      </w:pPr>
      <w:r>
        <w:rPr>
          <w:sz w:val="22"/>
          <w:szCs w:val="22"/>
        </w:rPr>
        <w:t xml:space="preserve">Note that amounts shown above in brackets </w:t>
      </w:r>
      <w:proofErr w:type="gramStart"/>
      <w:r>
        <w:rPr>
          <w:sz w:val="22"/>
          <w:szCs w:val="22"/>
        </w:rPr>
        <w:t>( )</w:t>
      </w:r>
      <w:proofErr w:type="gramEnd"/>
      <w:r>
        <w:rPr>
          <w:sz w:val="22"/>
          <w:szCs w:val="22"/>
        </w:rPr>
        <w:t xml:space="preserve"> are profits.  </w:t>
      </w:r>
      <w:r w:rsidR="00F90919">
        <w:rPr>
          <w:sz w:val="22"/>
          <w:szCs w:val="22"/>
        </w:rPr>
        <w:t>Please let me know if</w:t>
      </w:r>
      <w:r w:rsidR="008E61C2" w:rsidRPr="001E7F51">
        <w:rPr>
          <w:sz w:val="22"/>
          <w:szCs w:val="22"/>
        </w:rPr>
        <w:t xml:space="preserve"> you have any questions</w:t>
      </w:r>
      <w:r w:rsidR="000044C5">
        <w:rPr>
          <w:sz w:val="22"/>
          <w:szCs w:val="22"/>
        </w:rPr>
        <w:t xml:space="preserve">. </w:t>
      </w:r>
      <w:r w:rsidR="007E026E">
        <w:rPr>
          <w:sz w:val="22"/>
          <w:szCs w:val="22"/>
        </w:rPr>
        <w:t xml:space="preserve"> </w:t>
      </w:r>
      <w:r w:rsidR="008E61C2" w:rsidRPr="001E7F51">
        <w:rPr>
          <w:sz w:val="22"/>
          <w:szCs w:val="22"/>
        </w:rPr>
        <w:t xml:space="preserve">I </w:t>
      </w:r>
      <w:r w:rsidR="002F4345">
        <w:rPr>
          <w:sz w:val="22"/>
          <w:szCs w:val="22"/>
        </w:rPr>
        <w:t>w</w:t>
      </w:r>
      <w:r w:rsidR="00053701">
        <w:rPr>
          <w:sz w:val="22"/>
          <w:szCs w:val="22"/>
        </w:rPr>
        <w:t>ill</w:t>
      </w:r>
      <w:r w:rsidR="002F4345">
        <w:rPr>
          <w:sz w:val="22"/>
          <w:szCs w:val="22"/>
        </w:rPr>
        <w:t xml:space="preserve"> be happy to discuss </w:t>
      </w:r>
      <w:r w:rsidR="000857DB">
        <w:rPr>
          <w:sz w:val="22"/>
          <w:szCs w:val="22"/>
        </w:rPr>
        <w:t>this</w:t>
      </w:r>
      <w:r w:rsidR="002F4345">
        <w:rPr>
          <w:sz w:val="22"/>
          <w:szCs w:val="22"/>
        </w:rPr>
        <w:t xml:space="preserve"> with you any</w:t>
      </w:r>
      <w:r w:rsidR="008E61C2" w:rsidRPr="001E7F51">
        <w:rPr>
          <w:sz w:val="22"/>
          <w:szCs w:val="22"/>
        </w:rPr>
        <w:t xml:space="preserve"> time.</w:t>
      </w:r>
    </w:p>
    <w:p w14:paraId="486FA05F" w14:textId="77777777" w:rsidR="00054255" w:rsidRDefault="00054255" w:rsidP="008E61C2">
      <w:pPr>
        <w:rPr>
          <w:sz w:val="22"/>
          <w:szCs w:val="22"/>
        </w:rPr>
      </w:pPr>
    </w:p>
    <w:p w14:paraId="7D6829C2" w14:textId="77777777" w:rsidR="00F67B47" w:rsidRPr="0047181C" w:rsidRDefault="00F67B47" w:rsidP="00F67B47">
      <w:pPr>
        <w:pBdr>
          <w:top w:val="double" w:sz="4" w:space="1" w:color="auto"/>
        </w:pBdr>
        <w:rPr>
          <w:rFonts w:ascii="Tahoma" w:hAnsi="Tahoma" w:cs="Tahoma"/>
          <w:b/>
          <w:sz w:val="20"/>
          <w:szCs w:val="22"/>
        </w:rPr>
      </w:pPr>
    </w:p>
    <w:sectPr w:rsidR="00F67B47" w:rsidRPr="0047181C" w:rsidSect="00546A62">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FPHFA+Impact">
    <w:altName w:val="Imp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17441"/>
    <w:multiLevelType w:val="hybridMultilevel"/>
    <w:tmpl w:val="08C27C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74F0769"/>
    <w:multiLevelType w:val="hybridMultilevel"/>
    <w:tmpl w:val="E0A4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47"/>
    <w:rsid w:val="00000D36"/>
    <w:rsid w:val="00001223"/>
    <w:rsid w:val="000044C5"/>
    <w:rsid w:val="00005180"/>
    <w:rsid w:val="00005403"/>
    <w:rsid w:val="0001198C"/>
    <w:rsid w:val="000145B3"/>
    <w:rsid w:val="00016444"/>
    <w:rsid w:val="000174E8"/>
    <w:rsid w:val="00020BF9"/>
    <w:rsid w:val="00022358"/>
    <w:rsid w:val="000245D1"/>
    <w:rsid w:val="00024C7B"/>
    <w:rsid w:val="0002599D"/>
    <w:rsid w:val="0002753A"/>
    <w:rsid w:val="00030E40"/>
    <w:rsid w:val="00041B56"/>
    <w:rsid w:val="00050796"/>
    <w:rsid w:val="0005267B"/>
    <w:rsid w:val="00053701"/>
    <w:rsid w:val="00054255"/>
    <w:rsid w:val="00061CA8"/>
    <w:rsid w:val="00063702"/>
    <w:rsid w:val="00063DF9"/>
    <w:rsid w:val="00070231"/>
    <w:rsid w:val="000709A8"/>
    <w:rsid w:val="00075037"/>
    <w:rsid w:val="00076A04"/>
    <w:rsid w:val="000806E6"/>
    <w:rsid w:val="00084332"/>
    <w:rsid w:val="000857DB"/>
    <w:rsid w:val="00087254"/>
    <w:rsid w:val="00096143"/>
    <w:rsid w:val="00097FE8"/>
    <w:rsid w:val="000A005E"/>
    <w:rsid w:val="000B5A92"/>
    <w:rsid w:val="000B7719"/>
    <w:rsid w:val="000D4896"/>
    <w:rsid w:val="000E0BD3"/>
    <w:rsid w:val="000E0D01"/>
    <w:rsid w:val="000E3DC5"/>
    <w:rsid w:val="000E6B8D"/>
    <w:rsid w:val="000F1482"/>
    <w:rsid w:val="000F37AF"/>
    <w:rsid w:val="001007E3"/>
    <w:rsid w:val="00101DAC"/>
    <w:rsid w:val="00102E2C"/>
    <w:rsid w:val="00107520"/>
    <w:rsid w:val="00107562"/>
    <w:rsid w:val="001143FC"/>
    <w:rsid w:val="00115ED9"/>
    <w:rsid w:val="001165E5"/>
    <w:rsid w:val="00136469"/>
    <w:rsid w:val="00143B1B"/>
    <w:rsid w:val="001444D0"/>
    <w:rsid w:val="001461CA"/>
    <w:rsid w:val="00151085"/>
    <w:rsid w:val="0015152E"/>
    <w:rsid w:val="00152EF9"/>
    <w:rsid w:val="00164563"/>
    <w:rsid w:val="00172508"/>
    <w:rsid w:val="00175A2B"/>
    <w:rsid w:val="00182A86"/>
    <w:rsid w:val="00183E17"/>
    <w:rsid w:val="001856AF"/>
    <w:rsid w:val="00186E74"/>
    <w:rsid w:val="00195D87"/>
    <w:rsid w:val="001A6D09"/>
    <w:rsid w:val="001B7EAE"/>
    <w:rsid w:val="001C202A"/>
    <w:rsid w:val="001C3F27"/>
    <w:rsid w:val="001C5769"/>
    <w:rsid w:val="001C59E5"/>
    <w:rsid w:val="001C6C08"/>
    <w:rsid w:val="001D371D"/>
    <w:rsid w:val="001D74DD"/>
    <w:rsid w:val="001E22E7"/>
    <w:rsid w:val="001E34A0"/>
    <w:rsid w:val="001E4EC5"/>
    <w:rsid w:val="001E7F51"/>
    <w:rsid w:val="001F250D"/>
    <w:rsid w:val="001F3662"/>
    <w:rsid w:val="001F40C4"/>
    <w:rsid w:val="001F6F0A"/>
    <w:rsid w:val="001F7A2E"/>
    <w:rsid w:val="002003D0"/>
    <w:rsid w:val="00205AE5"/>
    <w:rsid w:val="002071E6"/>
    <w:rsid w:val="00214140"/>
    <w:rsid w:val="00226F2A"/>
    <w:rsid w:val="002301D4"/>
    <w:rsid w:val="0023425A"/>
    <w:rsid w:val="00236A4F"/>
    <w:rsid w:val="00237E85"/>
    <w:rsid w:val="002403CC"/>
    <w:rsid w:val="00243E21"/>
    <w:rsid w:val="00244542"/>
    <w:rsid w:val="00245568"/>
    <w:rsid w:val="00246199"/>
    <w:rsid w:val="002638E9"/>
    <w:rsid w:val="00266F08"/>
    <w:rsid w:val="002672B2"/>
    <w:rsid w:val="002679FC"/>
    <w:rsid w:val="00273518"/>
    <w:rsid w:val="00273D57"/>
    <w:rsid w:val="00276965"/>
    <w:rsid w:val="00276E7C"/>
    <w:rsid w:val="00280D89"/>
    <w:rsid w:val="002811FB"/>
    <w:rsid w:val="00281EDE"/>
    <w:rsid w:val="00284A38"/>
    <w:rsid w:val="002925E2"/>
    <w:rsid w:val="002A5D12"/>
    <w:rsid w:val="002A6BEF"/>
    <w:rsid w:val="002A74AF"/>
    <w:rsid w:val="002B3335"/>
    <w:rsid w:val="002B4426"/>
    <w:rsid w:val="002B7AC7"/>
    <w:rsid w:val="002C13AE"/>
    <w:rsid w:val="002C66D8"/>
    <w:rsid w:val="002D18ED"/>
    <w:rsid w:val="002E1CBB"/>
    <w:rsid w:val="002E3CC5"/>
    <w:rsid w:val="002E44CF"/>
    <w:rsid w:val="002F2AD4"/>
    <w:rsid w:val="002F31C6"/>
    <w:rsid w:val="002F350B"/>
    <w:rsid w:val="002F4345"/>
    <w:rsid w:val="0030387C"/>
    <w:rsid w:val="003108F9"/>
    <w:rsid w:val="00312323"/>
    <w:rsid w:val="003139DB"/>
    <w:rsid w:val="00315828"/>
    <w:rsid w:val="00315E97"/>
    <w:rsid w:val="00317FE7"/>
    <w:rsid w:val="00320554"/>
    <w:rsid w:val="003209FE"/>
    <w:rsid w:val="00321F81"/>
    <w:rsid w:val="003227CD"/>
    <w:rsid w:val="003272D8"/>
    <w:rsid w:val="00332138"/>
    <w:rsid w:val="0033369D"/>
    <w:rsid w:val="00337236"/>
    <w:rsid w:val="00340743"/>
    <w:rsid w:val="00340D9E"/>
    <w:rsid w:val="00345C78"/>
    <w:rsid w:val="00347AEE"/>
    <w:rsid w:val="00354CF6"/>
    <w:rsid w:val="003561EC"/>
    <w:rsid w:val="00360FCC"/>
    <w:rsid w:val="0036139C"/>
    <w:rsid w:val="003627B0"/>
    <w:rsid w:val="003726B3"/>
    <w:rsid w:val="00395B9E"/>
    <w:rsid w:val="003A3543"/>
    <w:rsid w:val="003B0A76"/>
    <w:rsid w:val="003B21FA"/>
    <w:rsid w:val="003B26F4"/>
    <w:rsid w:val="003B607F"/>
    <w:rsid w:val="003C120C"/>
    <w:rsid w:val="003D0412"/>
    <w:rsid w:val="003E06A0"/>
    <w:rsid w:val="003E1B8A"/>
    <w:rsid w:val="003E252F"/>
    <w:rsid w:val="003F3686"/>
    <w:rsid w:val="00400B73"/>
    <w:rsid w:val="004019CE"/>
    <w:rsid w:val="004076ED"/>
    <w:rsid w:val="00410B29"/>
    <w:rsid w:val="00411E94"/>
    <w:rsid w:val="00412533"/>
    <w:rsid w:val="00423A70"/>
    <w:rsid w:val="004248BB"/>
    <w:rsid w:val="00426B63"/>
    <w:rsid w:val="00430BE1"/>
    <w:rsid w:val="004325A7"/>
    <w:rsid w:val="00434D9A"/>
    <w:rsid w:val="00435F0E"/>
    <w:rsid w:val="00436042"/>
    <w:rsid w:val="00443D82"/>
    <w:rsid w:val="0046133F"/>
    <w:rsid w:val="00463FE7"/>
    <w:rsid w:val="0047181C"/>
    <w:rsid w:val="004774FD"/>
    <w:rsid w:val="00477983"/>
    <w:rsid w:val="004843E5"/>
    <w:rsid w:val="00485E4C"/>
    <w:rsid w:val="0048750F"/>
    <w:rsid w:val="0049121E"/>
    <w:rsid w:val="004913E0"/>
    <w:rsid w:val="004A39B6"/>
    <w:rsid w:val="004C0286"/>
    <w:rsid w:val="004E78A5"/>
    <w:rsid w:val="004F1CDB"/>
    <w:rsid w:val="004F2459"/>
    <w:rsid w:val="004F3171"/>
    <w:rsid w:val="004F5946"/>
    <w:rsid w:val="00500AA2"/>
    <w:rsid w:val="00500EE3"/>
    <w:rsid w:val="00511CA8"/>
    <w:rsid w:val="00524A8F"/>
    <w:rsid w:val="00530948"/>
    <w:rsid w:val="00530DE9"/>
    <w:rsid w:val="00532AC9"/>
    <w:rsid w:val="005331D7"/>
    <w:rsid w:val="00534BEC"/>
    <w:rsid w:val="00536291"/>
    <w:rsid w:val="005373A3"/>
    <w:rsid w:val="00544E09"/>
    <w:rsid w:val="00544F9B"/>
    <w:rsid w:val="00546A62"/>
    <w:rsid w:val="00546BFD"/>
    <w:rsid w:val="00551438"/>
    <w:rsid w:val="0055173D"/>
    <w:rsid w:val="00553BA5"/>
    <w:rsid w:val="0056085F"/>
    <w:rsid w:val="0056321C"/>
    <w:rsid w:val="00565FE8"/>
    <w:rsid w:val="00576C1E"/>
    <w:rsid w:val="00577C44"/>
    <w:rsid w:val="00577DA0"/>
    <w:rsid w:val="00583636"/>
    <w:rsid w:val="00586BE9"/>
    <w:rsid w:val="00587E06"/>
    <w:rsid w:val="0059408A"/>
    <w:rsid w:val="00594A8C"/>
    <w:rsid w:val="005A76DF"/>
    <w:rsid w:val="005C0EF7"/>
    <w:rsid w:val="005C2123"/>
    <w:rsid w:val="005C252F"/>
    <w:rsid w:val="005C5E5A"/>
    <w:rsid w:val="005C6551"/>
    <w:rsid w:val="005D0823"/>
    <w:rsid w:val="005D75E9"/>
    <w:rsid w:val="005E1CB1"/>
    <w:rsid w:val="005E6C74"/>
    <w:rsid w:val="005F0335"/>
    <w:rsid w:val="005F062D"/>
    <w:rsid w:val="005F31CB"/>
    <w:rsid w:val="005F334B"/>
    <w:rsid w:val="0060355E"/>
    <w:rsid w:val="0061086E"/>
    <w:rsid w:val="006118CD"/>
    <w:rsid w:val="00612873"/>
    <w:rsid w:val="00612D50"/>
    <w:rsid w:val="00613766"/>
    <w:rsid w:val="00613B4A"/>
    <w:rsid w:val="00617B33"/>
    <w:rsid w:val="00625C0A"/>
    <w:rsid w:val="00630293"/>
    <w:rsid w:val="00631A9B"/>
    <w:rsid w:val="00637E01"/>
    <w:rsid w:val="0064789A"/>
    <w:rsid w:val="006501D3"/>
    <w:rsid w:val="006511D4"/>
    <w:rsid w:val="00656F21"/>
    <w:rsid w:val="00660A4F"/>
    <w:rsid w:val="006704D1"/>
    <w:rsid w:val="00670576"/>
    <w:rsid w:val="00670D7F"/>
    <w:rsid w:val="00672078"/>
    <w:rsid w:val="00672E11"/>
    <w:rsid w:val="00677B5A"/>
    <w:rsid w:val="006840FF"/>
    <w:rsid w:val="00686307"/>
    <w:rsid w:val="00694B5E"/>
    <w:rsid w:val="00694DDB"/>
    <w:rsid w:val="006963C4"/>
    <w:rsid w:val="00696ADC"/>
    <w:rsid w:val="00697099"/>
    <w:rsid w:val="006A599D"/>
    <w:rsid w:val="006A6B2D"/>
    <w:rsid w:val="006B2E61"/>
    <w:rsid w:val="006B6C11"/>
    <w:rsid w:val="006C1A3C"/>
    <w:rsid w:val="006C3810"/>
    <w:rsid w:val="006C461F"/>
    <w:rsid w:val="006C4CA0"/>
    <w:rsid w:val="006D4CC6"/>
    <w:rsid w:val="006D7656"/>
    <w:rsid w:val="006E2200"/>
    <w:rsid w:val="006E5F0E"/>
    <w:rsid w:val="006F1028"/>
    <w:rsid w:val="006F2E18"/>
    <w:rsid w:val="006F37C3"/>
    <w:rsid w:val="006F40E5"/>
    <w:rsid w:val="006F4AD3"/>
    <w:rsid w:val="006F633E"/>
    <w:rsid w:val="00701D6A"/>
    <w:rsid w:val="00702C58"/>
    <w:rsid w:val="00702E24"/>
    <w:rsid w:val="007048AC"/>
    <w:rsid w:val="00711E1E"/>
    <w:rsid w:val="00713FA8"/>
    <w:rsid w:val="00714329"/>
    <w:rsid w:val="00715E20"/>
    <w:rsid w:val="007166D2"/>
    <w:rsid w:val="00717FC9"/>
    <w:rsid w:val="00723C30"/>
    <w:rsid w:val="007335C2"/>
    <w:rsid w:val="00740B99"/>
    <w:rsid w:val="00742101"/>
    <w:rsid w:val="007443D5"/>
    <w:rsid w:val="007449D9"/>
    <w:rsid w:val="00744C70"/>
    <w:rsid w:val="0074790B"/>
    <w:rsid w:val="00751637"/>
    <w:rsid w:val="0075186B"/>
    <w:rsid w:val="0077296B"/>
    <w:rsid w:val="0077550E"/>
    <w:rsid w:val="00776187"/>
    <w:rsid w:val="00780CAC"/>
    <w:rsid w:val="0078165C"/>
    <w:rsid w:val="00786103"/>
    <w:rsid w:val="0079333C"/>
    <w:rsid w:val="00794EB1"/>
    <w:rsid w:val="00796592"/>
    <w:rsid w:val="007967C1"/>
    <w:rsid w:val="00797577"/>
    <w:rsid w:val="007975C2"/>
    <w:rsid w:val="007A0AC3"/>
    <w:rsid w:val="007A137D"/>
    <w:rsid w:val="007A2C36"/>
    <w:rsid w:val="007B5446"/>
    <w:rsid w:val="007B5A61"/>
    <w:rsid w:val="007B6A8A"/>
    <w:rsid w:val="007C5C47"/>
    <w:rsid w:val="007D1612"/>
    <w:rsid w:val="007D6A67"/>
    <w:rsid w:val="007E026E"/>
    <w:rsid w:val="007E0328"/>
    <w:rsid w:val="007E0DC4"/>
    <w:rsid w:val="007E4F84"/>
    <w:rsid w:val="007E63EB"/>
    <w:rsid w:val="007F177B"/>
    <w:rsid w:val="007F4E55"/>
    <w:rsid w:val="0080472E"/>
    <w:rsid w:val="00804754"/>
    <w:rsid w:val="00807000"/>
    <w:rsid w:val="008138BF"/>
    <w:rsid w:val="00820420"/>
    <w:rsid w:val="008214BB"/>
    <w:rsid w:val="008304A2"/>
    <w:rsid w:val="008323B2"/>
    <w:rsid w:val="00834BDF"/>
    <w:rsid w:val="0083529C"/>
    <w:rsid w:val="00843472"/>
    <w:rsid w:val="008464A2"/>
    <w:rsid w:val="00851B0E"/>
    <w:rsid w:val="00854E37"/>
    <w:rsid w:val="00855934"/>
    <w:rsid w:val="00857DC4"/>
    <w:rsid w:val="00860E36"/>
    <w:rsid w:val="008612EE"/>
    <w:rsid w:val="00863C23"/>
    <w:rsid w:val="008640AA"/>
    <w:rsid w:val="00866654"/>
    <w:rsid w:val="00870EB2"/>
    <w:rsid w:val="00875AA0"/>
    <w:rsid w:val="00875F93"/>
    <w:rsid w:val="00881173"/>
    <w:rsid w:val="00893FF5"/>
    <w:rsid w:val="008946CD"/>
    <w:rsid w:val="008A1BE4"/>
    <w:rsid w:val="008A4307"/>
    <w:rsid w:val="008A502D"/>
    <w:rsid w:val="008B6B1A"/>
    <w:rsid w:val="008C07FC"/>
    <w:rsid w:val="008C2EB9"/>
    <w:rsid w:val="008C3206"/>
    <w:rsid w:val="008C571A"/>
    <w:rsid w:val="008C7B4E"/>
    <w:rsid w:val="008D1EC1"/>
    <w:rsid w:val="008D5D3C"/>
    <w:rsid w:val="008E39C3"/>
    <w:rsid w:val="008E61C2"/>
    <w:rsid w:val="008F1A9D"/>
    <w:rsid w:val="008F24F0"/>
    <w:rsid w:val="008F4497"/>
    <w:rsid w:val="009100AA"/>
    <w:rsid w:val="00910861"/>
    <w:rsid w:val="00910986"/>
    <w:rsid w:val="00911926"/>
    <w:rsid w:val="00912473"/>
    <w:rsid w:val="0092004B"/>
    <w:rsid w:val="009260E6"/>
    <w:rsid w:val="0093473F"/>
    <w:rsid w:val="00934D10"/>
    <w:rsid w:val="00936F39"/>
    <w:rsid w:val="00937D59"/>
    <w:rsid w:val="009436C3"/>
    <w:rsid w:val="0094439B"/>
    <w:rsid w:val="009478E4"/>
    <w:rsid w:val="0095194A"/>
    <w:rsid w:val="009523BF"/>
    <w:rsid w:val="0095311B"/>
    <w:rsid w:val="009544F9"/>
    <w:rsid w:val="00960F05"/>
    <w:rsid w:val="00962B4C"/>
    <w:rsid w:val="00963A12"/>
    <w:rsid w:val="00964982"/>
    <w:rsid w:val="0096567C"/>
    <w:rsid w:val="0096598E"/>
    <w:rsid w:val="00966703"/>
    <w:rsid w:val="00980EAA"/>
    <w:rsid w:val="00987ED8"/>
    <w:rsid w:val="00993D33"/>
    <w:rsid w:val="009A7019"/>
    <w:rsid w:val="009A7394"/>
    <w:rsid w:val="009B26C4"/>
    <w:rsid w:val="009B721F"/>
    <w:rsid w:val="009C0E95"/>
    <w:rsid w:val="009C15A6"/>
    <w:rsid w:val="009C6128"/>
    <w:rsid w:val="009D1D5E"/>
    <w:rsid w:val="009E6D10"/>
    <w:rsid w:val="009F03F0"/>
    <w:rsid w:val="009F2154"/>
    <w:rsid w:val="009F61D9"/>
    <w:rsid w:val="00A00384"/>
    <w:rsid w:val="00A13E3E"/>
    <w:rsid w:val="00A140B6"/>
    <w:rsid w:val="00A16ADC"/>
    <w:rsid w:val="00A23D7B"/>
    <w:rsid w:val="00A25FFB"/>
    <w:rsid w:val="00A267D5"/>
    <w:rsid w:val="00A26F39"/>
    <w:rsid w:val="00A372B9"/>
    <w:rsid w:val="00A40385"/>
    <w:rsid w:val="00A41ABE"/>
    <w:rsid w:val="00A44637"/>
    <w:rsid w:val="00A50D0D"/>
    <w:rsid w:val="00A52870"/>
    <w:rsid w:val="00A57D52"/>
    <w:rsid w:val="00A6254D"/>
    <w:rsid w:val="00A65C58"/>
    <w:rsid w:val="00A66434"/>
    <w:rsid w:val="00A7093C"/>
    <w:rsid w:val="00A727AE"/>
    <w:rsid w:val="00A732D8"/>
    <w:rsid w:val="00A76445"/>
    <w:rsid w:val="00A77991"/>
    <w:rsid w:val="00A91261"/>
    <w:rsid w:val="00A93D09"/>
    <w:rsid w:val="00AA0E4C"/>
    <w:rsid w:val="00AA3FA1"/>
    <w:rsid w:val="00AB105A"/>
    <w:rsid w:val="00AB52E9"/>
    <w:rsid w:val="00AC7CA9"/>
    <w:rsid w:val="00AE6395"/>
    <w:rsid w:val="00AF7821"/>
    <w:rsid w:val="00B20A9C"/>
    <w:rsid w:val="00B264F4"/>
    <w:rsid w:val="00B27EBA"/>
    <w:rsid w:val="00B27F8F"/>
    <w:rsid w:val="00B30145"/>
    <w:rsid w:val="00B34381"/>
    <w:rsid w:val="00B34709"/>
    <w:rsid w:val="00B37309"/>
    <w:rsid w:val="00B41F07"/>
    <w:rsid w:val="00B42379"/>
    <w:rsid w:val="00B42561"/>
    <w:rsid w:val="00B42FA3"/>
    <w:rsid w:val="00B451D2"/>
    <w:rsid w:val="00B65651"/>
    <w:rsid w:val="00B734A5"/>
    <w:rsid w:val="00B76BC4"/>
    <w:rsid w:val="00B8013B"/>
    <w:rsid w:val="00B81600"/>
    <w:rsid w:val="00B81F67"/>
    <w:rsid w:val="00B94541"/>
    <w:rsid w:val="00B97472"/>
    <w:rsid w:val="00B97A31"/>
    <w:rsid w:val="00BA5814"/>
    <w:rsid w:val="00BA6CA9"/>
    <w:rsid w:val="00BC71C2"/>
    <w:rsid w:val="00BD4EC3"/>
    <w:rsid w:val="00BD6A30"/>
    <w:rsid w:val="00BD75A1"/>
    <w:rsid w:val="00BE7295"/>
    <w:rsid w:val="00BF116D"/>
    <w:rsid w:val="00C02078"/>
    <w:rsid w:val="00C07815"/>
    <w:rsid w:val="00C07F1B"/>
    <w:rsid w:val="00C10DA4"/>
    <w:rsid w:val="00C113BD"/>
    <w:rsid w:val="00C15E63"/>
    <w:rsid w:val="00C20E59"/>
    <w:rsid w:val="00C22526"/>
    <w:rsid w:val="00C24215"/>
    <w:rsid w:val="00C278C1"/>
    <w:rsid w:val="00C2794C"/>
    <w:rsid w:val="00C279DA"/>
    <w:rsid w:val="00C303D0"/>
    <w:rsid w:val="00C32C61"/>
    <w:rsid w:val="00C33A8F"/>
    <w:rsid w:val="00C33C02"/>
    <w:rsid w:val="00C359B7"/>
    <w:rsid w:val="00C47149"/>
    <w:rsid w:val="00C51306"/>
    <w:rsid w:val="00C530C4"/>
    <w:rsid w:val="00C546AD"/>
    <w:rsid w:val="00C54AE3"/>
    <w:rsid w:val="00C55C27"/>
    <w:rsid w:val="00C560BE"/>
    <w:rsid w:val="00C62715"/>
    <w:rsid w:val="00C735E3"/>
    <w:rsid w:val="00C76CC6"/>
    <w:rsid w:val="00C801CB"/>
    <w:rsid w:val="00C829FF"/>
    <w:rsid w:val="00C86968"/>
    <w:rsid w:val="00C919AA"/>
    <w:rsid w:val="00C948FA"/>
    <w:rsid w:val="00CB5CA9"/>
    <w:rsid w:val="00CC33B1"/>
    <w:rsid w:val="00CD19FD"/>
    <w:rsid w:val="00CE03B7"/>
    <w:rsid w:val="00CE0B87"/>
    <w:rsid w:val="00CE23A9"/>
    <w:rsid w:val="00CF2A3D"/>
    <w:rsid w:val="00CF4FDB"/>
    <w:rsid w:val="00D00B3A"/>
    <w:rsid w:val="00D0713F"/>
    <w:rsid w:val="00D1179B"/>
    <w:rsid w:val="00D11A1F"/>
    <w:rsid w:val="00D16AC7"/>
    <w:rsid w:val="00D16CA9"/>
    <w:rsid w:val="00D20FD9"/>
    <w:rsid w:val="00D21DA2"/>
    <w:rsid w:val="00D255B4"/>
    <w:rsid w:val="00D30EE2"/>
    <w:rsid w:val="00D315DB"/>
    <w:rsid w:val="00D33249"/>
    <w:rsid w:val="00D40B0A"/>
    <w:rsid w:val="00D41E3A"/>
    <w:rsid w:val="00D46129"/>
    <w:rsid w:val="00D50A42"/>
    <w:rsid w:val="00D50A86"/>
    <w:rsid w:val="00D515DE"/>
    <w:rsid w:val="00D55EB2"/>
    <w:rsid w:val="00D613EF"/>
    <w:rsid w:val="00D635AE"/>
    <w:rsid w:val="00D643A8"/>
    <w:rsid w:val="00D71614"/>
    <w:rsid w:val="00D72DB0"/>
    <w:rsid w:val="00D73443"/>
    <w:rsid w:val="00D738E8"/>
    <w:rsid w:val="00D75DEB"/>
    <w:rsid w:val="00D760D6"/>
    <w:rsid w:val="00D76C5D"/>
    <w:rsid w:val="00D818F7"/>
    <w:rsid w:val="00D83705"/>
    <w:rsid w:val="00D848C6"/>
    <w:rsid w:val="00D93063"/>
    <w:rsid w:val="00D9518F"/>
    <w:rsid w:val="00D9618F"/>
    <w:rsid w:val="00D96F41"/>
    <w:rsid w:val="00D97594"/>
    <w:rsid w:val="00DA04C0"/>
    <w:rsid w:val="00DA5233"/>
    <w:rsid w:val="00DB31B5"/>
    <w:rsid w:val="00DB5B5B"/>
    <w:rsid w:val="00DB799C"/>
    <w:rsid w:val="00DB7ACE"/>
    <w:rsid w:val="00DC3D9B"/>
    <w:rsid w:val="00DC63E5"/>
    <w:rsid w:val="00DD0C45"/>
    <w:rsid w:val="00DD0D23"/>
    <w:rsid w:val="00DD5928"/>
    <w:rsid w:val="00DE05EE"/>
    <w:rsid w:val="00DF2F3C"/>
    <w:rsid w:val="00DF4CA1"/>
    <w:rsid w:val="00E022E5"/>
    <w:rsid w:val="00E03C60"/>
    <w:rsid w:val="00E04FE7"/>
    <w:rsid w:val="00E10462"/>
    <w:rsid w:val="00E116D2"/>
    <w:rsid w:val="00E138E3"/>
    <w:rsid w:val="00E149BE"/>
    <w:rsid w:val="00E16C19"/>
    <w:rsid w:val="00E21E95"/>
    <w:rsid w:val="00E25EC1"/>
    <w:rsid w:val="00E44A1D"/>
    <w:rsid w:val="00E46964"/>
    <w:rsid w:val="00E64622"/>
    <w:rsid w:val="00E75BB6"/>
    <w:rsid w:val="00E76088"/>
    <w:rsid w:val="00E76C13"/>
    <w:rsid w:val="00E76D13"/>
    <w:rsid w:val="00E80CD9"/>
    <w:rsid w:val="00E8632E"/>
    <w:rsid w:val="00E87456"/>
    <w:rsid w:val="00EA2287"/>
    <w:rsid w:val="00EB3830"/>
    <w:rsid w:val="00EB6D52"/>
    <w:rsid w:val="00EB6E2A"/>
    <w:rsid w:val="00EC79DA"/>
    <w:rsid w:val="00ED549B"/>
    <w:rsid w:val="00EE1DB2"/>
    <w:rsid w:val="00EF738E"/>
    <w:rsid w:val="00F10F16"/>
    <w:rsid w:val="00F13A7D"/>
    <w:rsid w:val="00F14253"/>
    <w:rsid w:val="00F159E6"/>
    <w:rsid w:val="00F20870"/>
    <w:rsid w:val="00F21406"/>
    <w:rsid w:val="00F24200"/>
    <w:rsid w:val="00F27E2C"/>
    <w:rsid w:val="00F324FB"/>
    <w:rsid w:val="00F34330"/>
    <w:rsid w:val="00F40015"/>
    <w:rsid w:val="00F442E1"/>
    <w:rsid w:val="00F52DD3"/>
    <w:rsid w:val="00F57CB5"/>
    <w:rsid w:val="00F64F81"/>
    <w:rsid w:val="00F67014"/>
    <w:rsid w:val="00F67B47"/>
    <w:rsid w:val="00F732C5"/>
    <w:rsid w:val="00F77BC1"/>
    <w:rsid w:val="00F81105"/>
    <w:rsid w:val="00F855F2"/>
    <w:rsid w:val="00F869FD"/>
    <w:rsid w:val="00F90919"/>
    <w:rsid w:val="00F93AEA"/>
    <w:rsid w:val="00F94883"/>
    <w:rsid w:val="00FA37B4"/>
    <w:rsid w:val="00FB6A64"/>
    <w:rsid w:val="00FC223A"/>
    <w:rsid w:val="00FC716D"/>
    <w:rsid w:val="00FD2253"/>
    <w:rsid w:val="00FD34CC"/>
    <w:rsid w:val="00FD661F"/>
    <w:rsid w:val="00FE080F"/>
    <w:rsid w:val="00FE5806"/>
    <w:rsid w:val="00FE7A34"/>
    <w:rsid w:val="00FF3A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61F7"/>
  <w15:docId w15:val="{99828D6C-5405-455D-AB56-DF51D72C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B47"/>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F67B47"/>
    <w:pPr>
      <w:keepNext/>
      <w:outlineLvl w:val="0"/>
    </w:pPr>
    <w:rPr>
      <w:rFonts w:ascii="Times New (W1)" w:hAnsi="Times New (W1)"/>
      <w:b/>
      <w:smallCaps/>
      <w:color w:val="800000"/>
      <w:spacing w:val="80"/>
      <w:sz w:val="7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B47"/>
    <w:rPr>
      <w:rFonts w:ascii="Times New (W1)" w:eastAsia="Times New Roman" w:hAnsi="Times New (W1)" w:cs="Times New Roman"/>
      <w:b/>
      <w:smallCaps/>
      <w:color w:val="800000"/>
      <w:spacing w:val="80"/>
      <w:sz w:val="72"/>
      <w:szCs w:val="24"/>
    </w:rPr>
  </w:style>
  <w:style w:type="paragraph" w:styleId="BalloonText">
    <w:name w:val="Balloon Text"/>
    <w:basedOn w:val="Normal"/>
    <w:link w:val="BalloonTextChar"/>
    <w:uiPriority w:val="99"/>
    <w:semiHidden/>
    <w:unhideWhenUsed/>
    <w:rsid w:val="00F67014"/>
    <w:rPr>
      <w:rFonts w:ascii="Tahoma" w:hAnsi="Tahoma" w:cs="Tahoma"/>
      <w:sz w:val="16"/>
      <w:szCs w:val="16"/>
    </w:rPr>
  </w:style>
  <w:style w:type="character" w:customStyle="1" w:styleId="BalloonTextChar">
    <w:name w:val="Balloon Text Char"/>
    <w:basedOn w:val="DefaultParagraphFont"/>
    <w:link w:val="BalloonText"/>
    <w:uiPriority w:val="99"/>
    <w:semiHidden/>
    <w:rsid w:val="00F67014"/>
    <w:rPr>
      <w:rFonts w:ascii="Tahoma" w:eastAsia="Times New Roman" w:hAnsi="Tahoma" w:cs="Tahoma"/>
      <w:sz w:val="16"/>
      <w:szCs w:val="16"/>
      <w:lang w:val="en-GB"/>
    </w:rPr>
  </w:style>
  <w:style w:type="paragraph" w:customStyle="1" w:styleId="Default">
    <w:name w:val="Default"/>
    <w:rsid w:val="001165E5"/>
    <w:pPr>
      <w:autoSpaceDE w:val="0"/>
      <w:autoSpaceDN w:val="0"/>
      <w:adjustRightInd w:val="0"/>
    </w:pPr>
    <w:rPr>
      <w:rFonts w:ascii="CFPHFA+Impact" w:hAnsi="CFPHFA+Impact" w:cs="CFPHFA+Impact"/>
      <w:color w:val="000000"/>
      <w:sz w:val="24"/>
      <w:szCs w:val="24"/>
      <w:lang w:eastAsia="en-US"/>
    </w:rPr>
  </w:style>
  <w:style w:type="paragraph" w:styleId="BodyText">
    <w:name w:val="Body Text"/>
    <w:basedOn w:val="Default"/>
    <w:next w:val="Default"/>
    <w:link w:val="BodyTextChar"/>
    <w:uiPriority w:val="99"/>
    <w:rsid w:val="001165E5"/>
    <w:rPr>
      <w:rFonts w:cs="Times New Roman"/>
      <w:color w:val="auto"/>
    </w:rPr>
  </w:style>
  <w:style w:type="character" w:customStyle="1" w:styleId="BodyTextChar">
    <w:name w:val="Body Text Char"/>
    <w:basedOn w:val="DefaultParagraphFont"/>
    <w:link w:val="BodyText"/>
    <w:uiPriority w:val="99"/>
    <w:rsid w:val="001165E5"/>
    <w:rPr>
      <w:rFonts w:ascii="CFPHFA+Impact" w:hAnsi="CFPHFA+Impact"/>
      <w:sz w:val="24"/>
      <w:szCs w:val="24"/>
    </w:rPr>
  </w:style>
  <w:style w:type="character" w:styleId="Hyperlink">
    <w:name w:val="Hyperlink"/>
    <w:basedOn w:val="DefaultParagraphFont"/>
    <w:uiPriority w:val="99"/>
    <w:unhideWhenUsed/>
    <w:rsid w:val="0092004B"/>
    <w:rPr>
      <w:color w:val="0000FF"/>
      <w:u w:val="single"/>
    </w:rPr>
  </w:style>
  <w:style w:type="paragraph" w:styleId="ListParagraph">
    <w:name w:val="List Paragraph"/>
    <w:basedOn w:val="Normal"/>
    <w:uiPriority w:val="34"/>
    <w:qFormat/>
    <w:rsid w:val="00F442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7255">
      <w:bodyDiv w:val="1"/>
      <w:marLeft w:val="0"/>
      <w:marRight w:val="0"/>
      <w:marTop w:val="0"/>
      <w:marBottom w:val="0"/>
      <w:divBdr>
        <w:top w:val="none" w:sz="0" w:space="0" w:color="auto"/>
        <w:left w:val="none" w:sz="0" w:space="0" w:color="auto"/>
        <w:bottom w:val="none" w:sz="0" w:space="0" w:color="auto"/>
        <w:right w:val="none" w:sz="0" w:space="0" w:color="auto"/>
      </w:divBdr>
    </w:div>
    <w:div w:id="94792212">
      <w:bodyDiv w:val="1"/>
      <w:marLeft w:val="0"/>
      <w:marRight w:val="0"/>
      <w:marTop w:val="0"/>
      <w:marBottom w:val="0"/>
      <w:divBdr>
        <w:top w:val="none" w:sz="0" w:space="0" w:color="auto"/>
        <w:left w:val="none" w:sz="0" w:space="0" w:color="auto"/>
        <w:bottom w:val="none" w:sz="0" w:space="0" w:color="auto"/>
        <w:right w:val="none" w:sz="0" w:space="0" w:color="auto"/>
      </w:divBdr>
    </w:div>
    <w:div w:id="126315357">
      <w:bodyDiv w:val="1"/>
      <w:marLeft w:val="0"/>
      <w:marRight w:val="0"/>
      <w:marTop w:val="0"/>
      <w:marBottom w:val="0"/>
      <w:divBdr>
        <w:top w:val="none" w:sz="0" w:space="0" w:color="auto"/>
        <w:left w:val="none" w:sz="0" w:space="0" w:color="auto"/>
        <w:bottom w:val="none" w:sz="0" w:space="0" w:color="auto"/>
        <w:right w:val="none" w:sz="0" w:space="0" w:color="auto"/>
      </w:divBdr>
    </w:div>
    <w:div w:id="276836143">
      <w:bodyDiv w:val="1"/>
      <w:marLeft w:val="0"/>
      <w:marRight w:val="0"/>
      <w:marTop w:val="0"/>
      <w:marBottom w:val="0"/>
      <w:divBdr>
        <w:top w:val="none" w:sz="0" w:space="0" w:color="auto"/>
        <w:left w:val="none" w:sz="0" w:space="0" w:color="auto"/>
        <w:bottom w:val="none" w:sz="0" w:space="0" w:color="auto"/>
        <w:right w:val="none" w:sz="0" w:space="0" w:color="auto"/>
      </w:divBdr>
    </w:div>
    <w:div w:id="426660038">
      <w:bodyDiv w:val="1"/>
      <w:marLeft w:val="0"/>
      <w:marRight w:val="0"/>
      <w:marTop w:val="0"/>
      <w:marBottom w:val="0"/>
      <w:divBdr>
        <w:top w:val="none" w:sz="0" w:space="0" w:color="auto"/>
        <w:left w:val="none" w:sz="0" w:space="0" w:color="auto"/>
        <w:bottom w:val="none" w:sz="0" w:space="0" w:color="auto"/>
        <w:right w:val="none" w:sz="0" w:space="0" w:color="auto"/>
      </w:divBdr>
    </w:div>
    <w:div w:id="642809637">
      <w:bodyDiv w:val="1"/>
      <w:marLeft w:val="0"/>
      <w:marRight w:val="0"/>
      <w:marTop w:val="0"/>
      <w:marBottom w:val="0"/>
      <w:divBdr>
        <w:top w:val="none" w:sz="0" w:space="0" w:color="auto"/>
        <w:left w:val="none" w:sz="0" w:space="0" w:color="auto"/>
        <w:bottom w:val="none" w:sz="0" w:space="0" w:color="auto"/>
        <w:right w:val="none" w:sz="0" w:space="0" w:color="auto"/>
      </w:divBdr>
    </w:div>
    <w:div w:id="712928544">
      <w:bodyDiv w:val="1"/>
      <w:marLeft w:val="0"/>
      <w:marRight w:val="0"/>
      <w:marTop w:val="0"/>
      <w:marBottom w:val="0"/>
      <w:divBdr>
        <w:top w:val="none" w:sz="0" w:space="0" w:color="auto"/>
        <w:left w:val="none" w:sz="0" w:space="0" w:color="auto"/>
        <w:bottom w:val="none" w:sz="0" w:space="0" w:color="auto"/>
        <w:right w:val="none" w:sz="0" w:space="0" w:color="auto"/>
      </w:divBdr>
    </w:div>
    <w:div w:id="713163246">
      <w:bodyDiv w:val="1"/>
      <w:marLeft w:val="0"/>
      <w:marRight w:val="0"/>
      <w:marTop w:val="0"/>
      <w:marBottom w:val="0"/>
      <w:divBdr>
        <w:top w:val="none" w:sz="0" w:space="0" w:color="auto"/>
        <w:left w:val="none" w:sz="0" w:space="0" w:color="auto"/>
        <w:bottom w:val="none" w:sz="0" w:space="0" w:color="auto"/>
        <w:right w:val="none" w:sz="0" w:space="0" w:color="auto"/>
      </w:divBdr>
    </w:div>
    <w:div w:id="768894237">
      <w:bodyDiv w:val="1"/>
      <w:marLeft w:val="0"/>
      <w:marRight w:val="0"/>
      <w:marTop w:val="0"/>
      <w:marBottom w:val="0"/>
      <w:divBdr>
        <w:top w:val="none" w:sz="0" w:space="0" w:color="auto"/>
        <w:left w:val="none" w:sz="0" w:space="0" w:color="auto"/>
        <w:bottom w:val="none" w:sz="0" w:space="0" w:color="auto"/>
        <w:right w:val="none" w:sz="0" w:space="0" w:color="auto"/>
      </w:divBdr>
    </w:div>
    <w:div w:id="804347260">
      <w:bodyDiv w:val="1"/>
      <w:marLeft w:val="0"/>
      <w:marRight w:val="0"/>
      <w:marTop w:val="0"/>
      <w:marBottom w:val="0"/>
      <w:divBdr>
        <w:top w:val="none" w:sz="0" w:space="0" w:color="auto"/>
        <w:left w:val="none" w:sz="0" w:space="0" w:color="auto"/>
        <w:bottom w:val="none" w:sz="0" w:space="0" w:color="auto"/>
        <w:right w:val="none" w:sz="0" w:space="0" w:color="auto"/>
      </w:divBdr>
    </w:div>
    <w:div w:id="810635297">
      <w:bodyDiv w:val="1"/>
      <w:marLeft w:val="0"/>
      <w:marRight w:val="0"/>
      <w:marTop w:val="0"/>
      <w:marBottom w:val="0"/>
      <w:divBdr>
        <w:top w:val="none" w:sz="0" w:space="0" w:color="auto"/>
        <w:left w:val="none" w:sz="0" w:space="0" w:color="auto"/>
        <w:bottom w:val="none" w:sz="0" w:space="0" w:color="auto"/>
        <w:right w:val="none" w:sz="0" w:space="0" w:color="auto"/>
      </w:divBdr>
    </w:div>
    <w:div w:id="850799353">
      <w:bodyDiv w:val="1"/>
      <w:marLeft w:val="0"/>
      <w:marRight w:val="0"/>
      <w:marTop w:val="0"/>
      <w:marBottom w:val="0"/>
      <w:divBdr>
        <w:top w:val="none" w:sz="0" w:space="0" w:color="auto"/>
        <w:left w:val="none" w:sz="0" w:space="0" w:color="auto"/>
        <w:bottom w:val="none" w:sz="0" w:space="0" w:color="auto"/>
        <w:right w:val="none" w:sz="0" w:space="0" w:color="auto"/>
      </w:divBdr>
    </w:div>
    <w:div w:id="858852708">
      <w:bodyDiv w:val="1"/>
      <w:marLeft w:val="0"/>
      <w:marRight w:val="0"/>
      <w:marTop w:val="0"/>
      <w:marBottom w:val="0"/>
      <w:divBdr>
        <w:top w:val="none" w:sz="0" w:space="0" w:color="auto"/>
        <w:left w:val="none" w:sz="0" w:space="0" w:color="auto"/>
        <w:bottom w:val="none" w:sz="0" w:space="0" w:color="auto"/>
        <w:right w:val="none" w:sz="0" w:space="0" w:color="auto"/>
      </w:divBdr>
    </w:div>
    <w:div w:id="900990698">
      <w:bodyDiv w:val="1"/>
      <w:marLeft w:val="0"/>
      <w:marRight w:val="0"/>
      <w:marTop w:val="0"/>
      <w:marBottom w:val="0"/>
      <w:divBdr>
        <w:top w:val="none" w:sz="0" w:space="0" w:color="auto"/>
        <w:left w:val="none" w:sz="0" w:space="0" w:color="auto"/>
        <w:bottom w:val="none" w:sz="0" w:space="0" w:color="auto"/>
        <w:right w:val="none" w:sz="0" w:space="0" w:color="auto"/>
      </w:divBdr>
    </w:div>
    <w:div w:id="936594553">
      <w:bodyDiv w:val="1"/>
      <w:marLeft w:val="0"/>
      <w:marRight w:val="0"/>
      <w:marTop w:val="0"/>
      <w:marBottom w:val="0"/>
      <w:divBdr>
        <w:top w:val="none" w:sz="0" w:space="0" w:color="auto"/>
        <w:left w:val="none" w:sz="0" w:space="0" w:color="auto"/>
        <w:bottom w:val="none" w:sz="0" w:space="0" w:color="auto"/>
        <w:right w:val="none" w:sz="0" w:space="0" w:color="auto"/>
      </w:divBdr>
    </w:div>
    <w:div w:id="936795498">
      <w:bodyDiv w:val="1"/>
      <w:marLeft w:val="0"/>
      <w:marRight w:val="0"/>
      <w:marTop w:val="0"/>
      <w:marBottom w:val="0"/>
      <w:divBdr>
        <w:top w:val="none" w:sz="0" w:space="0" w:color="auto"/>
        <w:left w:val="none" w:sz="0" w:space="0" w:color="auto"/>
        <w:bottom w:val="none" w:sz="0" w:space="0" w:color="auto"/>
        <w:right w:val="none" w:sz="0" w:space="0" w:color="auto"/>
      </w:divBdr>
    </w:div>
    <w:div w:id="979772392">
      <w:bodyDiv w:val="1"/>
      <w:marLeft w:val="0"/>
      <w:marRight w:val="0"/>
      <w:marTop w:val="0"/>
      <w:marBottom w:val="0"/>
      <w:divBdr>
        <w:top w:val="none" w:sz="0" w:space="0" w:color="auto"/>
        <w:left w:val="none" w:sz="0" w:space="0" w:color="auto"/>
        <w:bottom w:val="none" w:sz="0" w:space="0" w:color="auto"/>
        <w:right w:val="none" w:sz="0" w:space="0" w:color="auto"/>
      </w:divBdr>
    </w:div>
    <w:div w:id="1086194979">
      <w:bodyDiv w:val="1"/>
      <w:marLeft w:val="0"/>
      <w:marRight w:val="0"/>
      <w:marTop w:val="0"/>
      <w:marBottom w:val="0"/>
      <w:divBdr>
        <w:top w:val="none" w:sz="0" w:space="0" w:color="auto"/>
        <w:left w:val="none" w:sz="0" w:space="0" w:color="auto"/>
        <w:bottom w:val="none" w:sz="0" w:space="0" w:color="auto"/>
        <w:right w:val="none" w:sz="0" w:space="0" w:color="auto"/>
      </w:divBdr>
    </w:div>
    <w:div w:id="1091974015">
      <w:bodyDiv w:val="1"/>
      <w:marLeft w:val="0"/>
      <w:marRight w:val="0"/>
      <w:marTop w:val="0"/>
      <w:marBottom w:val="0"/>
      <w:divBdr>
        <w:top w:val="none" w:sz="0" w:space="0" w:color="auto"/>
        <w:left w:val="none" w:sz="0" w:space="0" w:color="auto"/>
        <w:bottom w:val="none" w:sz="0" w:space="0" w:color="auto"/>
        <w:right w:val="none" w:sz="0" w:space="0" w:color="auto"/>
      </w:divBdr>
    </w:div>
    <w:div w:id="1125388930">
      <w:bodyDiv w:val="1"/>
      <w:marLeft w:val="0"/>
      <w:marRight w:val="0"/>
      <w:marTop w:val="0"/>
      <w:marBottom w:val="0"/>
      <w:divBdr>
        <w:top w:val="none" w:sz="0" w:space="0" w:color="auto"/>
        <w:left w:val="none" w:sz="0" w:space="0" w:color="auto"/>
        <w:bottom w:val="none" w:sz="0" w:space="0" w:color="auto"/>
        <w:right w:val="none" w:sz="0" w:space="0" w:color="auto"/>
      </w:divBdr>
    </w:div>
    <w:div w:id="1174301618">
      <w:bodyDiv w:val="1"/>
      <w:marLeft w:val="0"/>
      <w:marRight w:val="0"/>
      <w:marTop w:val="0"/>
      <w:marBottom w:val="0"/>
      <w:divBdr>
        <w:top w:val="none" w:sz="0" w:space="0" w:color="auto"/>
        <w:left w:val="none" w:sz="0" w:space="0" w:color="auto"/>
        <w:bottom w:val="none" w:sz="0" w:space="0" w:color="auto"/>
        <w:right w:val="none" w:sz="0" w:space="0" w:color="auto"/>
      </w:divBdr>
    </w:div>
    <w:div w:id="1177959720">
      <w:bodyDiv w:val="1"/>
      <w:marLeft w:val="0"/>
      <w:marRight w:val="0"/>
      <w:marTop w:val="0"/>
      <w:marBottom w:val="0"/>
      <w:divBdr>
        <w:top w:val="none" w:sz="0" w:space="0" w:color="auto"/>
        <w:left w:val="none" w:sz="0" w:space="0" w:color="auto"/>
        <w:bottom w:val="none" w:sz="0" w:space="0" w:color="auto"/>
        <w:right w:val="none" w:sz="0" w:space="0" w:color="auto"/>
      </w:divBdr>
    </w:div>
    <w:div w:id="1208032346">
      <w:bodyDiv w:val="1"/>
      <w:marLeft w:val="0"/>
      <w:marRight w:val="0"/>
      <w:marTop w:val="0"/>
      <w:marBottom w:val="0"/>
      <w:divBdr>
        <w:top w:val="none" w:sz="0" w:space="0" w:color="auto"/>
        <w:left w:val="none" w:sz="0" w:space="0" w:color="auto"/>
        <w:bottom w:val="none" w:sz="0" w:space="0" w:color="auto"/>
        <w:right w:val="none" w:sz="0" w:space="0" w:color="auto"/>
      </w:divBdr>
    </w:div>
    <w:div w:id="1250774183">
      <w:bodyDiv w:val="1"/>
      <w:marLeft w:val="0"/>
      <w:marRight w:val="0"/>
      <w:marTop w:val="0"/>
      <w:marBottom w:val="0"/>
      <w:divBdr>
        <w:top w:val="none" w:sz="0" w:space="0" w:color="auto"/>
        <w:left w:val="none" w:sz="0" w:space="0" w:color="auto"/>
        <w:bottom w:val="none" w:sz="0" w:space="0" w:color="auto"/>
        <w:right w:val="none" w:sz="0" w:space="0" w:color="auto"/>
      </w:divBdr>
    </w:div>
    <w:div w:id="1273826643">
      <w:bodyDiv w:val="1"/>
      <w:marLeft w:val="0"/>
      <w:marRight w:val="0"/>
      <w:marTop w:val="0"/>
      <w:marBottom w:val="0"/>
      <w:divBdr>
        <w:top w:val="none" w:sz="0" w:space="0" w:color="auto"/>
        <w:left w:val="none" w:sz="0" w:space="0" w:color="auto"/>
        <w:bottom w:val="none" w:sz="0" w:space="0" w:color="auto"/>
        <w:right w:val="none" w:sz="0" w:space="0" w:color="auto"/>
      </w:divBdr>
    </w:div>
    <w:div w:id="1331639289">
      <w:bodyDiv w:val="1"/>
      <w:marLeft w:val="0"/>
      <w:marRight w:val="0"/>
      <w:marTop w:val="0"/>
      <w:marBottom w:val="0"/>
      <w:divBdr>
        <w:top w:val="none" w:sz="0" w:space="0" w:color="auto"/>
        <w:left w:val="none" w:sz="0" w:space="0" w:color="auto"/>
        <w:bottom w:val="none" w:sz="0" w:space="0" w:color="auto"/>
        <w:right w:val="none" w:sz="0" w:space="0" w:color="auto"/>
      </w:divBdr>
    </w:div>
    <w:div w:id="1375816031">
      <w:bodyDiv w:val="1"/>
      <w:marLeft w:val="0"/>
      <w:marRight w:val="0"/>
      <w:marTop w:val="0"/>
      <w:marBottom w:val="0"/>
      <w:divBdr>
        <w:top w:val="none" w:sz="0" w:space="0" w:color="auto"/>
        <w:left w:val="none" w:sz="0" w:space="0" w:color="auto"/>
        <w:bottom w:val="none" w:sz="0" w:space="0" w:color="auto"/>
        <w:right w:val="none" w:sz="0" w:space="0" w:color="auto"/>
      </w:divBdr>
    </w:div>
    <w:div w:id="1461218273">
      <w:bodyDiv w:val="1"/>
      <w:marLeft w:val="0"/>
      <w:marRight w:val="0"/>
      <w:marTop w:val="0"/>
      <w:marBottom w:val="0"/>
      <w:divBdr>
        <w:top w:val="none" w:sz="0" w:space="0" w:color="auto"/>
        <w:left w:val="none" w:sz="0" w:space="0" w:color="auto"/>
        <w:bottom w:val="none" w:sz="0" w:space="0" w:color="auto"/>
        <w:right w:val="none" w:sz="0" w:space="0" w:color="auto"/>
      </w:divBdr>
    </w:div>
    <w:div w:id="1470514439">
      <w:bodyDiv w:val="1"/>
      <w:marLeft w:val="0"/>
      <w:marRight w:val="0"/>
      <w:marTop w:val="0"/>
      <w:marBottom w:val="0"/>
      <w:divBdr>
        <w:top w:val="none" w:sz="0" w:space="0" w:color="auto"/>
        <w:left w:val="none" w:sz="0" w:space="0" w:color="auto"/>
        <w:bottom w:val="none" w:sz="0" w:space="0" w:color="auto"/>
        <w:right w:val="none" w:sz="0" w:space="0" w:color="auto"/>
      </w:divBdr>
    </w:div>
    <w:div w:id="1514610125">
      <w:bodyDiv w:val="1"/>
      <w:marLeft w:val="0"/>
      <w:marRight w:val="0"/>
      <w:marTop w:val="0"/>
      <w:marBottom w:val="0"/>
      <w:divBdr>
        <w:top w:val="none" w:sz="0" w:space="0" w:color="auto"/>
        <w:left w:val="none" w:sz="0" w:space="0" w:color="auto"/>
        <w:bottom w:val="none" w:sz="0" w:space="0" w:color="auto"/>
        <w:right w:val="none" w:sz="0" w:space="0" w:color="auto"/>
      </w:divBdr>
    </w:div>
    <w:div w:id="1642155913">
      <w:bodyDiv w:val="1"/>
      <w:marLeft w:val="0"/>
      <w:marRight w:val="0"/>
      <w:marTop w:val="0"/>
      <w:marBottom w:val="0"/>
      <w:divBdr>
        <w:top w:val="none" w:sz="0" w:space="0" w:color="auto"/>
        <w:left w:val="none" w:sz="0" w:space="0" w:color="auto"/>
        <w:bottom w:val="none" w:sz="0" w:space="0" w:color="auto"/>
        <w:right w:val="none" w:sz="0" w:space="0" w:color="auto"/>
      </w:divBdr>
    </w:div>
    <w:div w:id="1642617331">
      <w:bodyDiv w:val="1"/>
      <w:marLeft w:val="0"/>
      <w:marRight w:val="0"/>
      <w:marTop w:val="0"/>
      <w:marBottom w:val="0"/>
      <w:divBdr>
        <w:top w:val="none" w:sz="0" w:space="0" w:color="auto"/>
        <w:left w:val="none" w:sz="0" w:space="0" w:color="auto"/>
        <w:bottom w:val="none" w:sz="0" w:space="0" w:color="auto"/>
        <w:right w:val="none" w:sz="0" w:space="0" w:color="auto"/>
      </w:divBdr>
    </w:div>
    <w:div w:id="1702239603">
      <w:bodyDiv w:val="1"/>
      <w:marLeft w:val="0"/>
      <w:marRight w:val="0"/>
      <w:marTop w:val="0"/>
      <w:marBottom w:val="0"/>
      <w:divBdr>
        <w:top w:val="none" w:sz="0" w:space="0" w:color="auto"/>
        <w:left w:val="none" w:sz="0" w:space="0" w:color="auto"/>
        <w:bottom w:val="none" w:sz="0" w:space="0" w:color="auto"/>
        <w:right w:val="none" w:sz="0" w:space="0" w:color="auto"/>
      </w:divBdr>
    </w:div>
    <w:div w:id="1735004098">
      <w:bodyDiv w:val="1"/>
      <w:marLeft w:val="0"/>
      <w:marRight w:val="0"/>
      <w:marTop w:val="0"/>
      <w:marBottom w:val="0"/>
      <w:divBdr>
        <w:top w:val="none" w:sz="0" w:space="0" w:color="auto"/>
        <w:left w:val="none" w:sz="0" w:space="0" w:color="auto"/>
        <w:bottom w:val="none" w:sz="0" w:space="0" w:color="auto"/>
        <w:right w:val="none" w:sz="0" w:space="0" w:color="auto"/>
      </w:divBdr>
    </w:div>
    <w:div w:id="1809588388">
      <w:bodyDiv w:val="1"/>
      <w:marLeft w:val="0"/>
      <w:marRight w:val="0"/>
      <w:marTop w:val="0"/>
      <w:marBottom w:val="0"/>
      <w:divBdr>
        <w:top w:val="none" w:sz="0" w:space="0" w:color="auto"/>
        <w:left w:val="none" w:sz="0" w:space="0" w:color="auto"/>
        <w:bottom w:val="none" w:sz="0" w:space="0" w:color="auto"/>
        <w:right w:val="none" w:sz="0" w:space="0" w:color="auto"/>
      </w:divBdr>
    </w:div>
    <w:div w:id="1882667448">
      <w:bodyDiv w:val="1"/>
      <w:marLeft w:val="0"/>
      <w:marRight w:val="0"/>
      <w:marTop w:val="0"/>
      <w:marBottom w:val="0"/>
      <w:divBdr>
        <w:top w:val="none" w:sz="0" w:space="0" w:color="auto"/>
        <w:left w:val="none" w:sz="0" w:space="0" w:color="auto"/>
        <w:bottom w:val="none" w:sz="0" w:space="0" w:color="auto"/>
        <w:right w:val="none" w:sz="0" w:space="0" w:color="auto"/>
      </w:divBdr>
    </w:div>
    <w:div w:id="1909221852">
      <w:bodyDiv w:val="1"/>
      <w:marLeft w:val="0"/>
      <w:marRight w:val="0"/>
      <w:marTop w:val="0"/>
      <w:marBottom w:val="0"/>
      <w:divBdr>
        <w:top w:val="none" w:sz="0" w:space="0" w:color="auto"/>
        <w:left w:val="none" w:sz="0" w:space="0" w:color="auto"/>
        <w:bottom w:val="none" w:sz="0" w:space="0" w:color="auto"/>
        <w:right w:val="none" w:sz="0" w:space="0" w:color="auto"/>
      </w:divBdr>
    </w:div>
    <w:div w:id="1915166513">
      <w:bodyDiv w:val="1"/>
      <w:marLeft w:val="0"/>
      <w:marRight w:val="0"/>
      <w:marTop w:val="0"/>
      <w:marBottom w:val="0"/>
      <w:divBdr>
        <w:top w:val="none" w:sz="0" w:space="0" w:color="auto"/>
        <w:left w:val="none" w:sz="0" w:space="0" w:color="auto"/>
        <w:bottom w:val="none" w:sz="0" w:space="0" w:color="auto"/>
        <w:right w:val="none" w:sz="0" w:space="0" w:color="auto"/>
      </w:divBdr>
    </w:div>
    <w:div w:id="1964187679">
      <w:bodyDiv w:val="1"/>
      <w:marLeft w:val="0"/>
      <w:marRight w:val="0"/>
      <w:marTop w:val="0"/>
      <w:marBottom w:val="0"/>
      <w:divBdr>
        <w:top w:val="none" w:sz="0" w:space="0" w:color="auto"/>
        <w:left w:val="none" w:sz="0" w:space="0" w:color="auto"/>
        <w:bottom w:val="none" w:sz="0" w:space="0" w:color="auto"/>
        <w:right w:val="none" w:sz="0" w:space="0" w:color="auto"/>
      </w:divBdr>
    </w:div>
    <w:div w:id="1995526675">
      <w:bodyDiv w:val="1"/>
      <w:marLeft w:val="0"/>
      <w:marRight w:val="0"/>
      <w:marTop w:val="0"/>
      <w:marBottom w:val="0"/>
      <w:divBdr>
        <w:top w:val="none" w:sz="0" w:space="0" w:color="auto"/>
        <w:left w:val="none" w:sz="0" w:space="0" w:color="auto"/>
        <w:bottom w:val="none" w:sz="0" w:space="0" w:color="auto"/>
        <w:right w:val="none" w:sz="0" w:space="0" w:color="auto"/>
      </w:divBdr>
    </w:div>
    <w:div w:id="2001231328">
      <w:bodyDiv w:val="1"/>
      <w:marLeft w:val="0"/>
      <w:marRight w:val="0"/>
      <w:marTop w:val="0"/>
      <w:marBottom w:val="0"/>
      <w:divBdr>
        <w:top w:val="none" w:sz="0" w:space="0" w:color="auto"/>
        <w:left w:val="none" w:sz="0" w:space="0" w:color="auto"/>
        <w:bottom w:val="none" w:sz="0" w:space="0" w:color="auto"/>
        <w:right w:val="none" w:sz="0" w:space="0" w:color="auto"/>
      </w:divBdr>
    </w:div>
    <w:div w:id="2021468625">
      <w:bodyDiv w:val="1"/>
      <w:marLeft w:val="0"/>
      <w:marRight w:val="0"/>
      <w:marTop w:val="0"/>
      <w:marBottom w:val="0"/>
      <w:divBdr>
        <w:top w:val="none" w:sz="0" w:space="0" w:color="auto"/>
        <w:left w:val="none" w:sz="0" w:space="0" w:color="auto"/>
        <w:bottom w:val="none" w:sz="0" w:space="0" w:color="auto"/>
        <w:right w:val="none" w:sz="0" w:space="0" w:color="auto"/>
      </w:divBdr>
    </w:div>
    <w:div w:id="2038459073">
      <w:bodyDiv w:val="1"/>
      <w:marLeft w:val="0"/>
      <w:marRight w:val="0"/>
      <w:marTop w:val="0"/>
      <w:marBottom w:val="0"/>
      <w:divBdr>
        <w:top w:val="none" w:sz="0" w:space="0" w:color="auto"/>
        <w:left w:val="none" w:sz="0" w:space="0" w:color="auto"/>
        <w:bottom w:val="none" w:sz="0" w:space="0" w:color="auto"/>
        <w:right w:val="none" w:sz="0" w:space="0" w:color="auto"/>
      </w:divBdr>
    </w:div>
    <w:div w:id="209100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msusv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FEE8E-C3B1-45DD-A295-3B70A7E0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4737</CharactersWithSpaces>
  <SharedDoc>false</SharedDoc>
  <HLinks>
    <vt:vector size="6" baseType="variant">
      <vt:variant>
        <vt:i4>3014706</vt:i4>
      </vt:variant>
      <vt:variant>
        <vt:i4>-1</vt:i4>
      </vt:variant>
      <vt:variant>
        <vt:i4>1026</vt:i4>
      </vt:variant>
      <vt:variant>
        <vt:i4>4</vt:i4>
      </vt:variant>
      <vt:variant>
        <vt:lpwstr>\\msusvr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bmgr</dc:creator>
  <cp:lastModifiedBy>Maggie Gallagher, Comptroller</cp:lastModifiedBy>
  <cp:revision>84</cp:revision>
  <cp:lastPrinted>2010-07-12T19:19:00Z</cp:lastPrinted>
  <dcterms:created xsi:type="dcterms:W3CDTF">2017-06-26T16:23:00Z</dcterms:created>
  <dcterms:modified xsi:type="dcterms:W3CDTF">2018-09-25T17:01:00Z</dcterms:modified>
</cp:coreProperties>
</file>