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9C45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D308C2">
            <w:pPr>
              <w:rPr>
                <w:rFonts w:ascii="Helvetica" w:hAnsi="Helvetica"/>
                <w:lang w:val="en-CA"/>
              </w:rPr>
            </w:pPr>
            <w:r w:rsidRPr="009C45BB"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C45BB" w:rsidRDefault="000878DB" w:rsidP="00061282">
            <w:pPr>
              <w:jc w:val="center"/>
              <w:rPr>
                <w:rFonts w:ascii="Helvetica" w:hAnsi="Helvetica"/>
                <w:sz w:val="84"/>
                <w:lang w:val="en-CA"/>
              </w:rPr>
            </w:pPr>
            <w:r w:rsidRPr="009C45BB">
              <w:rPr>
                <w:rFonts w:ascii="Helvetica" w:hAnsi="Helvetica"/>
                <w:sz w:val="84"/>
                <w:lang w:val="en-CA"/>
              </w:rPr>
              <w:t>JOB DESCRIPTION</w:t>
            </w:r>
          </w:p>
          <w:p w:rsidR="007C1F66" w:rsidRPr="009C45BB" w:rsidRDefault="00995384" w:rsidP="00061282">
            <w:pPr>
              <w:jc w:val="center"/>
              <w:rPr>
                <w:rFonts w:ascii="Helvetica" w:hAnsi="Helvetica"/>
                <w:sz w:val="16"/>
                <w:lang w:val="en-CA"/>
              </w:rPr>
            </w:pPr>
            <w:r w:rsidRPr="009C45BB">
              <w:rPr>
                <w:rFonts w:ascii="Helvetica" w:hAnsi="Helvetica"/>
                <w:sz w:val="16"/>
                <w:lang w:val="en-CA"/>
              </w:rPr>
              <w:t>Volunteer</w:t>
            </w:r>
          </w:p>
        </w:tc>
      </w:tr>
    </w:tbl>
    <w:p w:rsidR="007C1F66" w:rsidRPr="009C45BB" w:rsidRDefault="007C1F66">
      <w:pPr>
        <w:rPr>
          <w:rFonts w:ascii="Helvetica" w:hAnsi="Helvetica"/>
          <w:lang w:val="en-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D92980" w:rsidP="00B12E68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CA"/>
              </w:rPr>
              <w:t>Diversity Services</w:t>
            </w:r>
            <w:r w:rsidR="00473D05"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9509DC"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Research</w:t>
            </w:r>
            <w:r w:rsidR="00B12E68">
              <w:rPr>
                <w:rFonts w:ascii="Helvetica" w:hAnsi="Helvetica"/>
                <w:b/>
                <w:sz w:val="22"/>
                <w:szCs w:val="22"/>
                <w:lang w:val="en-CA"/>
              </w:rPr>
              <w:t xml:space="preserve"> </w:t>
            </w:r>
            <w:r w:rsidR="009509DC"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and Resources Executive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9509DC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September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1 to April 30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(Summer Preparation Required)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B12E68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Diversity Services Assistant Di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>rector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Volunteer </w:t>
            </w:r>
          </w:p>
        </w:tc>
      </w:tr>
      <w:tr w:rsidR="00473D05" w:rsidRPr="009C45B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473D05" w:rsidRPr="009C45BB" w:rsidRDefault="00473D05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</w:p>
        </w:tc>
      </w:tr>
      <w:tr w:rsidR="00473D05" w:rsidRPr="009C45BB" w:rsidTr="00B12E68">
        <w:trPr>
          <w:trHeight w:val="23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73D05" w:rsidRPr="009C45BB" w:rsidRDefault="00473D05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2D2F5A" w:rsidP="00473D05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8-10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 xml:space="preserve"> hours per week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 xml:space="preserve"> (academic), variable hours (summer)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General Scope of Duties</w:t>
            </w:r>
          </w:p>
        </w:tc>
      </w:tr>
      <w:tr w:rsidR="007C1F66" w:rsidRPr="009C45BB" w:rsidTr="00B12E68">
        <w:trPr>
          <w:trHeight w:val="207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9C45BB" w:rsidRDefault="00473D05" w:rsidP="00AB3033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The 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>Research and Resources (R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R) Executive will be responsible for managing the 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Diversity Services resource hub. They will work with </w:t>
            </w:r>
            <w:r w:rsidR="009C45BB">
              <w:rPr>
                <w:rFonts w:ascii="Helvetica" w:hAnsi="Helvetica"/>
                <w:sz w:val="22"/>
                <w:szCs w:val="22"/>
                <w:lang w:val="en-CA"/>
              </w:rPr>
              <w:t>the rest of the Diversity Services Executive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>to organize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the presentation of this information to students in different 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>media</w:t>
            </w:r>
            <w:r w:rsidR="00D075A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7D7FA3">
              <w:rPr>
                <w:rFonts w:ascii="Helvetica" w:hAnsi="Helvetica"/>
                <w:sz w:val="22"/>
                <w:szCs w:val="22"/>
                <w:lang w:val="en-CA"/>
              </w:rPr>
              <w:t xml:space="preserve">formats 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>(print, online, workshops)</w:t>
            </w:r>
            <w:r w:rsid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for the purpose of educating the student body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>. They will also be in charge of curating the information and resources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="009C45BB">
              <w:rPr>
                <w:rFonts w:ascii="Helvetica" w:hAnsi="Helvetica"/>
                <w:sz w:val="22"/>
                <w:szCs w:val="22"/>
                <w:lang w:val="en-CA"/>
              </w:rPr>
              <w:t xml:space="preserve">and keeping up-to-date on current topics related to social justice, with a focus on racism, religious discrimination, and indigenous 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>issues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>. The R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R Executive will work closely with the Director and Assistant Director to develop and implement the MSU’s 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>Anti-Oppressive Practi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>c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>es (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>AOP</w:t>
            </w:r>
            <w:r w:rsidR="009C45BB" w:rsidRPr="009C45BB">
              <w:rPr>
                <w:rFonts w:ascii="Helvetica" w:hAnsi="Helvetica"/>
                <w:sz w:val="22"/>
                <w:szCs w:val="22"/>
                <w:lang w:val="en-CA"/>
              </w:rPr>
              <w:t>)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 xml:space="preserve"> and Diversity and Inclusion</w:t>
            </w:r>
            <w:r w:rsidR="009509DC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training</w:t>
            </w:r>
            <w:r w:rsidR="009C45BB">
              <w:rPr>
                <w:rFonts w:ascii="Helvetica" w:hAnsi="Helvetica"/>
                <w:sz w:val="22"/>
                <w:szCs w:val="22"/>
                <w:lang w:val="en-CA"/>
              </w:rPr>
              <w:t>.</w:t>
            </w:r>
          </w:p>
        </w:tc>
      </w:tr>
    </w:tbl>
    <w:p w:rsidR="007C1F66" w:rsidRPr="009C45BB" w:rsidRDefault="007C1F66">
      <w:pPr>
        <w:ind w:left="567"/>
        <w:rPr>
          <w:rFonts w:ascii="Helvetica" w:hAnsi="Helvetica"/>
          <w:sz w:val="22"/>
          <w:szCs w:val="22"/>
          <w:lang w:val="en-CA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Major Duties and Responsibilities</w:t>
            </w:r>
          </w:p>
        </w:tc>
      </w:tr>
      <w:tr w:rsidR="00061282" w:rsidRPr="009C45B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9C45B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</w:p>
        </w:tc>
      </w:tr>
      <w:tr w:rsidR="007C1F66" w:rsidRPr="009C45B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9C45B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Specifics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9C45BB">
            <w:p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Administrative</w:t>
            </w:r>
            <w:r w:rsidR="004E6703">
              <w:rPr>
                <w:rFonts w:ascii="Helvetica" w:hAnsi="Helvetica"/>
                <w:sz w:val="22"/>
                <w:szCs w:val="22"/>
                <w:lang w:val="en-CA"/>
              </w:rPr>
              <w:t xml:space="preserve"> &amp; Communications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473D05" w:rsidP="00E71731">
            <w:pPr>
              <w:tabs>
                <w:tab w:val="center" w:pos="513"/>
                <w:tab w:val="right" w:pos="1026"/>
              </w:tabs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ab/>
            </w:r>
            <w:r w:rsidR="004E6703">
              <w:rPr>
                <w:rFonts w:ascii="Helvetica" w:hAnsi="Helvetica"/>
                <w:sz w:val="22"/>
                <w:szCs w:val="22"/>
                <w:lang w:val="en-CA"/>
              </w:rPr>
              <w:t>45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3D05" w:rsidRDefault="00102423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Create and maintain the Diversity Services resources hub</w:t>
            </w:r>
          </w:p>
          <w:p w:rsidR="004E6703" w:rsidRDefault="004E6703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Help advertise these educational resources to the McMaster community</w:t>
            </w:r>
          </w:p>
          <w:p w:rsidR="00102423" w:rsidRDefault="003D0518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Develop</w:t>
            </w:r>
            <w:r w:rsidR="00E71731">
              <w:rPr>
                <w:rFonts w:ascii="Helvetica" w:hAnsi="Helvetica"/>
                <w:sz w:val="22"/>
                <w:szCs w:val="22"/>
                <w:lang w:val="en-CA"/>
              </w:rPr>
              <w:t xml:space="preserve"> multiple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media</w:t>
            </w:r>
            <w:r w:rsidR="00E71731">
              <w:rPr>
                <w:rFonts w:ascii="Helvetica" w:hAnsi="Helvetica"/>
                <w:sz w:val="22"/>
                <w:szCs w:val="22"/>
                <w:lang w:val="en-CA"/>
              </w:rPr>
              <w:t xml:space="preserve"> to disseminate this information</w:t>
            </w:r>
          </w:p>
          <w:p w:rsidR="00E71731" w:rsidRDefault="00E71731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Organize the information for AOP training to MSU volunteers</w:t>
            </w:r>
            <w:r w:rsidR="003D0518">
              <w:rPr>
                <w:rFonts w:ascii="Helvetica" w:hAnsi="Helvetica"/>
                <w:sz w:val="22"/>
                <w:szCs w:val="22"/>
                <w:lang w:val="en-CA"/>
              </w:rPr>
              <w:t xml:space="preserve"> in collaboration with relevant stakeholders</w:t>
            </w:r>
          </w:p>
          <w:p w:rsidR="00D075A5" w:rsidRPr="009C45BB" w:rsidRDefault="00D075A5" w:rsidP="00AB303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Work with various relevant campus and community partners to </w:t>
            </w:r>
            <w:r w:rsidR="00AB3033">
              <w:rPr>
                <w:rFonts w:ascii="Helvetica" w:hAnsi="Helvetica"/>
                <w:sz w:val="22"/>
                <w:szCs w:val="22"/>
                <w:lang w:val="en-CA"/>
              </w:rPr>
              <w:t xml:space="preserve">curate and design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resources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D05" w:rsidRPr="009C45BB" w:rsidRDefault="00E71731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Research Function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05" w:rsidRPr="009C45BB" w:rsidRDefault="004E670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45</w:t>
            </w:r>
            <w:r w:rsidR="00473D05" w:rsidRPr="009C45BB">
              <w:rPr>
                <w:rFonts w:ascii="Helvetica" w:hAnsi="Helvetica"/>
                <w:sz w:val="22"/>
                <w:szCs w:val="22"/>
                <w:lang w:val="en-CA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703" w:rsidRDefault="00E71731" w:rsidP="004E6703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Keep up to date on current events related to social justice, 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>and compile this information for resource guides</w:t>
            </w:r>
          </w:p>
          <w:p w:rsidR="004E6703" w:rsidRPr="00B12E68" w:rsidRDefault="00B12E68" w:rsidP="00B12E68">
            <w:pPr>
              <w:numPr>
                <w:ilvl w:val="0"/>
                <w:numId w:val="2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Ensure Diversity Services is integrating critical theory into programming and campaigns by working with executive members</w:t>
            </w:r>
          </w:p>
        </w:tc>
      </w:tr>
      <w:tr w:rsidR="00473D05" w:rsidRPr="009C45B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73D05" w:rsidRPr="009C45BB" w:rsidRDefault="00473D05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D05" w:rsidRPr="009C45BB" w:rsidRDefault="00473D05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73D05" w:rsidRDefault="004E6703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Provide regular updates to the Diversity Services Director and Assistant Director</w:t>
            </w:r>
          </w:p>
          <w:p w:rsidR="004E6703" w:rsidRPr="009C45BB" w:rsidRDefault="004E6703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Participate in executive meetings as scheduled</w:t>
            </w:r>
          </w:p>
          <w:p w:rsidR="00473D05" w:rsidRPr="009C45BB" w:rsidRDefault="00473D05" w:rsidP="004E6703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Support and attend Diversity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 xml:space="preserve"> Services</w:t>
            </w: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 events</w:t>
            </w:r>
          </w:p>
          <w:p w:rsidR="00D52A84" w:rsidRDefault="004E6703" w:rsidP="003D0518">
            <w:pPr>
              <w:numPr>
                <w:ilvl w:val="0"/>
                <w:numId w:val="13"/>
              </w:numPr>
              <w:ind w:left="385" w:hanging="385"/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Provi</w:t>
            </w:r>
            <w:r w:rsidR="00B12E68">
              <w:rPr>
                <w:rFonts w:ascii="Helvetica" w:hAnsi="Helvetica"/>
                <w:sz w:val="22"/>
                <w:szCs w:val="22"/>
                <w:lang w:val="en-CA"/>
              </w:rPr>
              <w:t xml:space="preserve">de transition to the incoming </w:t>
            </w:r>
            <w:r w:rsidR="00906FF8">
              <w:rPr>
                <w:rFonts w:ascii="Helvetica" w:hAnsi="Helvetica"/>
                <w:sz w:val="22"/>
                <w:szCs w:val="22"/>
                <w:lang w:val="en-CA"/>
              </w:rPr>
              <w:t xml:space="preserve">Research and </w:t>
            </w:r>
            <w:r w:rsidR="00906FF8">
              <w:rPr>
                <w:rFonts w:ascii="Helvetica" w:hAnsi="Helvetica"/>
                <w:sz w:val="22"/>
                <w:szCs w:val="22"/>
                <w:lang w:val="en-CA"/>
              </w:rPr>
              <w:lastRenderedPageBreak/>
              <w:t xml:space="preserve">Resources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executive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Knowledge, Skills and Abilities</w:t>
            </w:r>
          </w:p>
        </w:tc>
      </w:tr>
      <w:tr w:rsidR="007C1F66" w:rsidRPr="009C45BB" w:rsidTr="007B2849">
        <w:trPr>
          <w:trHeight w:val="1002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75A5" w:rsidRPr="00D075A5" w:rsidRDefault="004E6703" w:rsidP="00D075A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Awareness and understanding of topics associated with Diversity Services (racism, religious discri</w:t>
            </w:r>
            <w:r w:rsidR="007B2849">
              <w:rPr>
                <w:rFonts w:ascii="Helvetica" w:hAnsi="Helvetica"/>
                <w:sz w:val="22"/>
                <w:szCs w:val="22"/>
                <w:lang w:val="en-CA"/>
              </w:rPr>
              <w:t>mination, indigenous affairs, ableism, sexism, and intersecting oppressions)</w:t>
            </w:r>
          </w:p>
          <w:p w:rsidR="00995384" w:rsidRPr="009C45BB" w:rsidRDefault="007B2849" w:rsidP="003C340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Organizational and time management skills</w:t>
            </w:r>
          </w:p>
          <w:p w:rsidR="00367422" w:rsidRDefault="007B2849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Interpersonal skills</w:t>
            </w:r>
          </w:p>
          <w:p w:rsidR="00906FF8" w:rsidRDefault="00906FF8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Strong </w:t>
            </w:r>
            <w:r w:rsidR="00AB3033">
              <w:rPr>
                <w:rFonts w:ascii="Helvetica" w:hAnsi="Helvetica"/>
                <w:sz w:val="22"/>
                <w:szCs w:val="22"/>
                <w:lang w:val="en-CA"/>
              </w:rPr>
              <w:t xml:space="preserve">written and oral 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>communication skills</w:t>
            </w:r>
          </w:p>
          <w:p w:rsidR="007B2849" w:rsidRDefault="007B2849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Formal and</w:t>
            </w:r>
            <w:r w:rsidR="00D075A5">
              <w:rPr>
                <w:rFonts w:ascii="Helvetica" w:hAnsi="Helvetica"/>
                <w:sz w:val="22"/>
                <w:szCs w:val="22"/>
                <w:lang w:val="en-CA"/>
              </w:rPr>
              <w:t>/or</w:t>
            </w:r>
            <w:r>
              <w:rPr>
                <w:rFonts w:ascii="Helvetica" w:hAnsi="Helvetica"/>
                <w:sz w:val="22"/>
                <w:szCs w:val="22"/>
                <w:lang w:val="en-CA"/>
              </w:rPr>
              <w:t xml:space="preserve"> informal research skills (academia, social media)</w:t>
            </w:r>
          </w:p>
          <w:p w:rsidR="00906FF8" w:rsidRPr="009C45BB" w:rsidRDefault="00906FF8" w:rsidP="0099538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Knowledge of resources on campus associated with Diversity Services is an asset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Effort &amp; Responsibility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6FF8" w:rsidRDefault="00906FF8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Establish and maintain professional connections on and off campus</w:t>
            </w:r>
          </w:p>
          <w:p w:rsidR="007C1F66" w:rsidRPr="009C45BB" w:rsidRDefault="005F7CE1" w:rsidP="007B284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 xml:space="preserve">Effort to </w:t>
            </w:r>
            <w:r w:rsidR="007B2849">
              <w:rPr>
                <w:rFonts w:ascii="Helvetica" w:hAnsi="Helvetica"/>
                <w:sz w:val="22"/>
                <w:szCs w:val="22"/>
                <w:lang w:val="en-CA"/>
              </w:rPr>
              <w:t>keep updated on current topics, and ensure the service is informed of them</w:t>
            </w:r>
          </w:p>
        </w:tc>
      </w:tr>
    </w:tbl>
    <w:p w:rsidR="007C1F66" w:rsidRPr="009C45BB" w:rsidRDefault="007C1F66">
      <w:pPr>
        <w:rPr>
          <w:rFonts w:ascii="Helvetica" w:hAnsi="Helvetica"/>
          <w:sz w:val="22"/>
          <w:szCs w:val="22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Working Conditions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9C45BB" w:rsidRDefault="00906FF8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Most work can be completed in a shared office space or from home</w:t>
            </w:r>
          </w:p>
          <w:p w:rsidR="007C1F66" w:rsidRPr="009C45B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Time demands may exceed stated hours of work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9C45B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9C45BB" w:rsidRDefault="000878DB">
            <w:pPr>
              <w:rPr>
                <w:rFonts w:ascii="Helvetica" w:hAnsi="Helvetica"/>
                <w:b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b/>
                <w:sz w:val="22"/>
                <w:szCs w:val="22"/>
                <w:lang w:val="en-CA"/>
              </w:rPr>
              <w:t>Training and Experience</w:t>
            </w:r>
          </w:p>
        </w:tc>
      </w:tr>
      <w:tr w:rsidR="007C1F66" w:rsidRPr="009C45B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7CE1" w:rsidRPr="009C45BB" w:rsidRDefault="005F7CE1" w:rsidP="005F7CE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9C45BB">
              <w:rPr>
                <w:rFonts w:ascii="Helvetica" w:hAnsi="Helvetica"/>
                <w:sz w:val="22"/>
                <w:szCs w:val="22"/>
                <w:lang w:val="en-CA"/>
              </w:rPr>
              <w:t>Participation in all Diversity Services Training sessions required (provided)</w:t>
            </w:r>
          </w:p>
          <w:p w:rsidR="00D075A5" w:rsidRDefault="00D075A5" w:rsidP="00D075A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>
              <w:rPr>
                <w:rFonts w:ascii="Helvetica" w:hAnsi="Helvetica"/>
                <w:sz w:val="22"/>
                <w:szCs w:val="22"/>
                <w:lang w:val="en-CA"/>
              </w:rPr>
              <w:t>Previous experience working in an anti-racist, anti-oppressive environment is an asset</w:t>
            </w:r>
          </w:p>
          <w:p w:rsidR="003C3407" w:rsidRPr="00D075A5" w:rsidRDefault="005F7CE1" w:rsidP="00906FF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  <w:lang w:val="en-CA"/>
              </w:rPr>
            </w:pPr>
            <w:r w:rsidRPr="00D075A5">
              <w:rPr>
                <w:rFonts w:ascii="Helvetica" w:hAnsi="Helvetica"/>
                <w:sz w:val="22"/>
                <w:szCs w:val="22"/>
                <w:lang w:val="en-CA"/>
              </w:rPr>
              <w:t xml:space="preserve">Transition with </w:t>
            </w:r>
            <w:r w:rsidR="00D075A5" w:rsidRPr="00D075A5">
              <w:rPr>
                <w:rFonts w:ascii="Helvetica" w:hAnsi="Helvetica"/>
                <w:sz w:val="22"/>
                <w:szCs w:val="22"/>
                <w:lang w:val="en-CA"/>
              </w:rPr>
              <w:t xml:space="preserve">incoming </w:t>
            </w:r>
            <w:r w:rsidR="00906FF8">
              <w:rPr>
                <w:rFonts w:ascii="Helvetica" w:hAnsi="Helvetica"/>
                <w:sz w:val="22"/>
                <w:szCs w:val="22"/>
                <w:lang w:val="en-CA"/>
              </w:rPr>
              <w:t>Executive</w:t>
            </w:r>
            <w:r w:rsidR="00906FF8" w:rsidRPr="00D075A5">
              <w:rPr>
                <w:rFonts w:ascii="Helvetica" w:hAnsi="Helvetica"/>
                <w:sz w:val="22"/>
                <w:szCs w:val="22"/>
                <w:lang w:val="en-CA"/>
              </w:rPr>
              <w:t xml:space="preserve"> </w:t>
            </w:r>
            <w:r w:rsidRPr="00D075A5">
              <w:rPr>
                <w:rFonts w:ascii="Helvetica" w:hAnsi="Helvetica"/>
                <w:sz w:val="22"/>
                <w:szCs w:val="22"/>
                <w:lang w:val="en-CA"/>
              </w:rPr>
              <w:t>also required</w:t>
            </w:r>
          </w:p>
        </w:tc>
      </w:tr>
    </w:tbl>
    <w:p w:rsidR="007C1F66" w:rsidRPr="009C45BB" w:rsidRDefault="007C1F66">
      <w:pPr>
        <w:rPr>
          <w:rFonts w:ascii="Helvetica" w:hAnsi="Helvetica"/>
          <w:b/>
          <w:sz w:val="22"/>
          <w:szCs w:val="22"/>
          <w:u w:val="single"/>
          <w:lang w:val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FF35C4" w:rsidRPr="008416CB" w:rsidTr="00141521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F35C4" w:rsidRPr="008416CB" w:rsidRDefault="00FF35C4" w:rsidP="00141521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FF35C4" w:rsidRPr="008416CB" w:rsidTr="00141521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5C4" w:rsidRPr="002C0508" w:rsidRDefault="00FF35C4" w:rsidP="00FF35C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Personal Computer</w:t>
            </w:r>
          </w:p>
        </w:tc>
      </w:tr>
    </w:tbl>
    <w:p w:rsidR="00061282" w:rsidRPr="009C45BB" w:rsidRDefault="00061282">
      <w:pPr>
        <w:rPr>
          <w:rFonts w:ascii="Helvetica" w:hAnsi="Helvetica"/>
          <w:sz w:val="22"/>
          <w:szCs w:val="22"/>
          <w:lang w:val="en-CA"/>
        </w:rPr>
      </w:pPr>
    </w:p>
    <w:p w:rsidR="00061282" w:rsidRPr="009C45BB" w:rsidRDefault="00061282" w:rsidP="00061282">
      <w:pPr>
        <w:rPr>
          <w:rFonts w:ascii="Helvetica" w:hAnsi="Helvetica"/>
          <w:sz w:val="22"/>
          <w:szCs w:val="22"/>
          <w:lang w:val="en-CA"/>
        </w:rPr>
      </w:pPr>
    </w:p>
    <w:p w:rsidR="00061282" w:rsidRPr="009C45BB" w:rsidRDefault="00061282" w:rsidP="00061282">
      <w:pPr>
        <w:rPr>
          <w:rFonts w:ascii="Helvetica" w:hAnsi="Helvetica"/>
          <w:sz w:val="22"/>
          <w:szCs w:val="22"/>
          <w:lang w:val="en-CA"/>
        </w:rPr>
      </w:pPr>
    </w:p>
    <w:p w:rsidR="007C1F66" w:rsidRPr="009C45B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  <w:lang w:val="en-CA"/>
        </w:rPr>
      </w:pPr>
      <w:r w:rsidRPr="009C45BB">
        <w:rPr>
          <w:rFonts w:ascii="Helvetica" w:hAnsi="Helvetica"/>
          <w:sz w:val="22"/>
          <w:szCs w:val="22"/>
          <w:lang w:val="en-CA"/>
        </w:rPr>
        <w:tab/>
      </w:r>
    </w:p>
    <w:sectPr w:rsidR="007C1F66" w:rsidRPr="009C45B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2F" w:rsidRDefault="00E2582F">
      <w:r>
        <w:separator/>
      </w:r>
    </w:p>
  </w:endnote>
  <w:endnote w:type="continuationSeparator" w:id="0">
    <w:p w:rsidR="00E2582F" w:rsidRDefault="00E2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2478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D7440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D7440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F1859">
      <w:rPr>
        <w:rStyle w:val="PageNumber"/>
        <w:rFonts w:ascii="Helvetica" w:hAnsi="Helvetica"/>
        <w:noProof/>
        <w:sz w:val="16"/>
        <w:szCs w:val="16"/>
      </w:rPr>
      <w:t>2</w:t>
    </w:r>
    <w:r w:rsidR="00DD7440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5C4" w:rsidRDefault="00DD7440" w:rsidP="00D308C2">
    <w:pPr>
      <w:pStyle w:val="Footer"/>
      <w:pBdr>
        <w:top w:val="single" w:sz="6" w:space="1" w:color="auto"/>
      </w:pBdr>
      <w:ind w:right="360"/>
      <w:rPr>
        <w:sz w:val="16"/>
        <w:szCs w:val="16"/>
      </w:rPr>
    </w:pPr>
    <w:r w:rsidRPr="00D308C2">
      <w:rPr>
        <w:rFonts w:ascii="Helvetica" w:hAnsi="Helvetica"/>
        <w:sz w:val="16"/>
        <w:szCs w:val="16"/>
      </w:rPr>
      <w:fldChar w:fldCharType="begin"/>
    </w:r>
    <w:r w:rsidR="002478A3" w:rsidRPr="00D308C2">
      <w:rPr>
        <w:rFonts w:ascii="Helvetica" w:hAnsi="Helvetica"/>
        <w:sz w:val="16"/>
        <w:szCs w:val="16"/>
      </w:rPr>
      <w:instrText xml:space="preserve"> FILENAME \p </w:instrText>
    </w:r>
    <w:r w:rsidRPr="00D308C2">
      <w:rPr>
        <w:rFonts w:ascii="Helvetica" w:hAnsi="Helvetica"/>
        <w:sz w:val="16"/>
        <w:szCs w:val="16"/>
      </w:rPr>
      <w:fldChar w:fldCharType="separate"/>
    </w:r>
    <w:r w:rsidR="002D2F5A">
      <w:rPr>
        <w:rFonts w:ascii="Helvetica" w:hAnsi="Helvetica"/>
        <w:noProof/>
        <w:sz w:val="16"/>
        <w:szCs w:val="16"/>
      </w:rPr>
      <w:t>P:\DEPARTS\ADMIN\Jess and Victoria shared documents\Job Descriptions\2016-2017 JOB DESCRIPTIONS\Diversity Services\Research and Resources Executive.docx</w:t>
    </w:r>
    <w:r w:rsidRPr="00D308C2">
      <w:rPr>
        <w:rFonts w:ascii="Helvetica" w:hAnsi="Helvetica"/>
        <w:sz w:val="16"/>
        <w:szCs w:val="16"/>
      </w:rPr>
      <w:fldChar w:fldCharType="end"/>
    </w:r>
    <w:r w:rsidR="00D308C2">
      <w:rPr>
        <w:sz w:val="16"/>
        <w:szCs w:val="16"/>
      </w:rPr>
      <w:t xml:space="preserve"> </w:t>
    </w:r>
    <w:r w:rsidR="002478A3" w:rsidRPr="00D308C2">
      <w:rPr>
        <w:sz w:val="16"/>
        <w:szCs w:val="16"/>
      </w:rPr>
      <w:t xml:space="preserve">             </w:t>
    </w:r>
  </w:p>
  <w:p w:rsidR="00D308C2" w:rsidRDefault="002478A3" w:rsidP="00D308C2">
    <w:pPr>
      <w:pStyle w:val="Footer"/>
      <w:pBdr>
        <w:top w:val="single" w:sz="6" w:space="1" w:color="auto"/>
      </w:pBdr>
      <w:ind w:right="360"/>
      <w:rPr>
        <w:sz w:val="16"/>
        <w:szCs w:val="16"/>
      </w:rPr>
    </w:pPr>
    <w:r w:rsidRPr="00D308C2">
      <w:rPr>
        <w:sz w:val="16"/>
        <w:szCs w:val="16"/>
      </w:rPr>
      <w:t xml:space="preserve">                                                 </w:t>
    </w:r>
    <w:r w:rsidR="00D308C2">
      <w:rPr>
        <w:sz w:val="16"/>
        <w:szCs w:val="16"/>
      </w:rPr>
      <w:t xml:space="preserve">    </w:t>
    </w:r>
    <w:r w:rsidR="00F27D46" w:rsidRPr="00D308C2">
      <w:rPr>
        <w:sz w:val="16"/>
        <w:szCs w:val="16"/>
      </w:rPr>
      <w:t xml:space="preserve">         </w:t>
    </w: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D2F5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995384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2F" w:rsidRDefault="00E2582F">
      <w:r>
        <w:separator/>
      </w:r>
    </w:p>
  </w:footnote>
  <w:footnote w:type="continuationSeparator" w:id="0">
    <w:p w:rsidR="00E2582F" w:rsidRDefault="00E2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10242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Diversity Services Research</w:t>
    </w:r>
    <w:r w:rsidR="00906FF8">
      <w:rPr>
        <w:rStyle w:val="PageNumber"/>
        <w:rFonts w:ascii="Helvetica" w:hAnsi="Helvetica"/>
        <w:i/>
      </w:rPr>
      <w:t xml:space="preserve"> </w:t>
    </w:r>
    <w:r>
      <w:rPr>
        <w:rStyle w:val="PageNumber"/>
        <w:rFonts w:ascii="Helvetica" w:hAnsi="Helvetica"/>
        <w:i/>
      </w:rPr>
      <w:t>and Resources Executive</w:t>
    </w:r>
    <w:r w:rsidR="002478A3">
      <w:rPr>
        <w:rStyle w:val="PageNumber"/>
        <w:rFonts w:ascii="Helvetica" w:hAnsi="Helvetica"/>
        <w:i/>
      </w:rPr>
      <w:t xml:space="preserve"> </w:t>
    </w:r>
    <w:r w:rsidR="002478A3" w:rsidRPr="008416CB">
      <w:rPr>
        <w:rStyle w:val="PageNumber"/>
        <w:rFonts w:ascii="Helvetica" w:hAnsi="Helvetica"/>
      </w:rPr>
      <w:t xml:space="preserve">Job Description </w:t>
    </w:r>
  </w:p>
  <w:p w:rsidR="002478A3" w:rsidRDefault="002478A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16A99"/>
    <w:rsid w:val="00035AEC"/>
    <w:rsid w:val="00061282"/>
    <w:rsid w:val="000878DB"/>
    <w:rsid w:val="00102423"/>
    <w:rsid w:val="00180A30"/>
    <w:rsid w:val="002478A3"/>
    <w:rsid w:val="002D2F5A"/>
    <w:rsid w:val="003305A6"/>
    <w:rsid w:val="00367422"/>
    <w:rsid w:val="0038761C"/>
    <w:rsid w:val="003B16C8"/>
    <w:rsid w:val="003C3407"/>
    <w:rsid w:val="003D0518"/>
    <w:rsid w:val="00473D05"/>
    <w:rsid w:val="00480EC2"/>
    <w:rsid w:val="00486370"/>
    <w:rsid w:val="004E6703"/>
    <w:rsid w:val="005B5307"/>
    <w:rsid w:val="005F7CE1"/>
    <w:rsid w:val="006D49BE"/>
    <w:rsid w:val="00714D1E"/>
    <w:rsid w:val="007B2849"/>
    <w:rsid w:val="007C1F66"/>
    <w:rsid w:val="007D7FA3"/>
    <w:rsid w:val="007E5783"/>
    <w:rsid w:val="007F1859"/>
    <w:rsid w:val="008416CB"/>
    <w:rsid w:val="00906FF8"/>
    <w:rsid w:val="009509DC"/>
    <w:rsid w:val="00952798"/>
    <w:rsid w:val="00995384"/>
    <w:rsid w:val="009C45BB"/>
    <w:rsid w:val="00A10653"/>
    <w:rsid w:val="00A561D8"/>
    <w:rsid w:val="00A9008F"/>
    <w:rsid w:val="00A96222"/>
    <w:rsid w:val="00AB3033"/>
    <w:rsid w:val="00B12E68"/>
    <w:rsid w:val="00B328EF"/>
    <w:rsid w:val="00CD4B86"/>
    <w:rsid w:val="00D075A5"/>
    <w:rsid w:val="00D308C2"/>
    <w:rsid w:val="00D51A59"/>
    <w:rsid w:val="00D52A84"/>
    <w:rsid w:val="00D543C6"/>
    <w:rsid w:val="00D92980"/>
    <w:rsid w:val="00DD7440"/>
    <w:rsid w:val="00E05BD5"/>
    <w:rsid w:val="00E2582F"/>
    <w:rsid w:val="00E53EDB"/>
    <w:rsid w:val="00E71731"/>
    <w:rsid w:val="00EC314A"/>
    <w:rsid w:val="00EE3E32"/>
    <w:rsid w:val="00EF2509"/>
    <w:rsid w:val="00EF79C9"/>
    <w:rsid w:val="00F27D46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D07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A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A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A5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A5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A5"/>
    <w:rPr>
      <w:rFonts w:ascii="Helvetica" w:hAnsi="Helvetica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D07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E097-0217-4FFA-8ED1-1AE77D7B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2016-11-17T17:39:00Z</dcterms:created>
  <dcterms:modified xsi:type="dcterms:W3CDTF">2016-11-17T17:39:00Z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