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47" w:rsidRDefault="00B42379" w:rsidP="00F67B47">
      <w:pPr>
        <w:rPr>
          <w:b/>
          <w:smallCaps/>
          <w:color w:val="FF0000"/>
          <w:spacing w:val="80"/>
        </w:rPr>
      </w:pPr>
      <w:r>
        <w:rPr>
          <w:b/>
          <w:smallCaps/>
          <w:noProof/>
          <w:color w:val="FF0000"/>
          <w:spacing w:val="80"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80010</wp:posOffset>
            </wp:positionV>
            <wp:extent cx="1514475" cy="942975"/>
            <wp:effectExtent l="19050" t="0" r="9525" b="0"/>
            <wp:wrapSquare wrapText="bothSides"/>
            <wp:docPr id="2" name="Picture 2" descr="Welcome to MSU Intran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B47" w:rsidRPr="007B5446" w:rsidRDefault="00964982" w:rsidP="00F67B47">
      <w:pPr>
        <w:pStyle w:val="Heading1"/>
        <w:rPr>
          <w:color w:val="660033"/>
        </w:rPr>
      </w:pPr>
      <w:r>
        <w:t xml:space="preserve">    </w:t>
      </w:r>
      <w:r w:rsidRPr="007B5446">
        <w:rPr>
          <w:color w:val="660033"/>
        </w:rPr>
        <w:t>MEMO</w:t>
      </w:r>
      <w:bookmarkStart w:id="0" w:name="_GoBack"/>
      <w:bookmarkEnd w:id="0"/>
    </w:p>
    <w:p w:rsidR="00D635AE" w:rsidRDefault="00D635AE" w:rsidP="00D635AE">
      <w:pPr>
        <w:rPr>
          <w:lang w:val="en-CA"/>
        </w:rPr>
      </w:pPr>
    </w:p>
    <w:p w:rsidR="00D635AE" w:rsidRDefault="00D635AE" w:rsidP="00D635AE">
      <w:pPr>
        <w:rPr>
          <w:lang w:val="en-CA"/>
        </w:rPr>
      </w:pPr>
    </w:p>
    <w:p w:rsidR="00912473" w:rsidRDefault="00912473" w:rsidP="00D635AE">
      <w:pPr>
        <w:rPr>
          <w:lang w:val="en-CA"/>
        </w:rPr>
      </w:pPr>
    </w:p>
    <w:p w:rsidR="00F67B47" w:rsidRPr="00E62C9A" w:rsidRDefault="00F67B47" w:rsidP="00F67B47">
      <w:pPr>
        <w:pBdr>
          <w:top w:val="double" w:sz="12" w:space="1" w:color="auto"/>
        </w:pBdr>
        <w:rPr>
          <w:rFonts w:ascii="Tahoma" w:hAnsi="Tahoma" w:cs="Tahoma"/>
        </w:rPr>
      </w:pPr>
    </w:p>
    <w:tbl>
      <w:tblPr>
        <w:tblW w:w="10227" w:type="dxa"/>
        <w:tblLayout w:type="fixed"/>
        <w:tblLook w:val="0000" w:firstRow="0" w:lastRow="0" w:firstColumn="0" w:lastColumn="0" w:noHBand="0" w:noVBand="0"/>
      </w:tblPr>
      <w:tblGrid>
        <w:gridCol w:w="1829"/>
        <w:gridCol w:w="8398"/>
      </w:tblGrid>
      <w:tr w:rsidR="00F67B47" w:rsidRPr="00631A9B" w:rsidTr="00152EF9">
        <w:trPr>
          <w:trHeight w:val="387"/>
        </w:trPr>
        <w:tc>
          <w:tcPr>
            <w:tcW w:w="1829" w:type="dxa"/>
          </w:tcPr>
          <w:p w:rsidR="00F67B47" w:rsidRPr="00631A9B" w:rsidRDefault="00F67B47" w:rsidP="001165E5">
            <w:pPr>
              <w:spacing w:line="360" w:lineRule="auto"/>
              <w:rPr>
                <w:b/>
              </w:rPr>
            </w:pPr>
            <w:r w:rsidRPr="00631A9B">
              <w:rPr>
                <w:b/>
                <w:sz w:val="22"/>
              </w:rPr>
              <w:t>Date:</w:t>
            </w:r>
            <w:r w:rsidRPr="00631A9B">
              <w:rPr>
                <w:b/>
                <w:sz w:val="22"/>
              </w:rPr>
              <w:tab/>
            </w:r>
          </w:p>
        </w:tc>
        <w:tc>
          <w:tcPr>
            <w:tcW w:w="8398" w:type="dxa"/>
          </w:tcPr>
          <w:p w:rsidR="00F67B47" w:rsidRPr="001E7F51" w:rsidRDefault="00D848C6" w:rsidP="00F9488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="00CD1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500EE3">
              <w:rPr>
                <w:sz w:val="22"/>
                <w:szCs w:val="22"/>
              </w:rPr>
              <w:t>1</w:t>
            </w:r>
            <w:r w:rsidR="00D255B4">
              <w:rPr>
                <w:sz w:val="22"/>
                <w:szCs w:val="22"/>
              </w:rPr>
              <w:t>, 201</w:t>
            </w:r>
            <w:r w:rsidR="00701D6A">
              <w:rPr>
                <w:sz w:val="22"/>
                <w:szCs w:val="22"/>
              </w:rPr>
              <w:t>7</w:t>
            </w:r>
          </w:p>
        </w:tc>
      </w:tr>
      <w:tr w:rsidR="00F67B47" w:rsidRPr="00631A9B" w:rsidTr="00152EF9">
        <w:trPr>
          <w:trHeight w:val="775"/>
        </w:trPr>
        <w:tc>
          <w:tcPr>
            <w:tcW w:w="1829" w:type="dxa"/>
          </w:tcPr>
          <w:p w:rsidR="00F67B47" w:rsidRPr="00631A9B" w:rsidRDefault="00F67B47" w:rsidP="00631A9B">
            <w:pPr>
              <w:spacing w:line="360" w:lineRule="auto"/>
              <w:rPr>
                <w:b/>
              </w:rPr>
            </w:pPr>
            <w:r w:rsidRPr="00631A9B">
              <w:rPr>
                <w:b/>
                <w:sz w:val="22"/>
              </w:rPr>
              <w:t>To:</w:t>
            </w:r>
          </w:p>
        </w:tc>
        <w:tc>
          <w:tcPr>
            <w:tcW w:w="8398" w:type="dxa"/>
          </w:tcPr>
          <w:p w:rsidR="00F67B47" w:rsidRPr="001E7F51" w:rsidRDefault="00631A9B" w:rsidP="00631A9B">
            <w:pPr>
              <w:spacing w:line="360" w:lineRule="auto"/>
              <w:rPr>
                <w:sz w:val="22"/>
                <w:szCs w:val="22"/>
              </w:rPr>
            </w:pPr>
            <w:r w:rsidRPr="001E7F51">
              <w:rPr>
                <w:sz w:val="22"/>
                <w:szCs w:val="22"/>
              </w:rPr>
              <w:t>John McGowan, General Manager</w:t>
            </w:r>
          </w:p>
          <w:p w:rsidR="00631A9B" w:rsidRPr="001E7F51" w:rsidRDefault="002638E9" w:rsidP="00C471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</w:t>
            </w:r>
            <w:r w:rsidR="00315E97">
              <w:rPr>
                <w:sz w:val="22"/>
                <w:szCs w:val="22"/>
              </w:rPr>
              <w:t xml:space="preserve"> D’Souza</w:t>
            </w:r>
            <w:r w:rsidR="00631A9B" w:rsidRPr="001E7F51">
              <w:rPr>
                <w:sz w:val="22"/>
                <w:szCs w:val="22"/>
              </w:rPr>
              <w:t>, V. P. Finance</w:t>
            </w:r>
          </w:p>
        </w:tc>
      </w:tr>
      <w:tr w:rsidR="00F67B47" w:rsidRPr="00631A9B" w:rsidTr="00152EF9">
        <w:trPr>
          <w:trHeight w:val="387"/>
        </w:trPr>
        <w:tc>
          <w:tcPr>
            <w:tcW w:w="1829" w:type="dxa"/>
          </w:tcPr>
          <w:p w:rsidR="00F67B47" w:rsidRPr="00631A9B" w:rsidRDefault="00F67B47" w:rsidP="001165E5">
            <w:pPr>
              <w:spacing w:line="360" w:lineRule="auto"/>
              <w:rPr>
                <w:b/>
              </w:rPr>
            </w:pPr>
            <w:r w:rsidRPr="00631A9B">
              <w:rPr>
                <w:b/>
                <w:sz w:val="22"/>
              </w:rPr>
              <w:t>From:</w:t>
            </w:r>
          </w:p>
        </w:tc>
        <w:tc>
          <w:tcPr>
            <w:tcW w:w="8398" w:type="dxa"/>
          </w:tcPr>
          <w:p w:rsidR="00F67B47" w:rsidRPr="001E7F51" w:rsidRDefault="00631A9B" w:rsidP="00631A9B">
            <w:pPr>
              <w:spacing w:line="360" w:lineRule="auto"/>
              <w:rPr>
                <w:sz w:val="22"/>
                <w:szCs w:val="22"/>
              </w:rPr>
            </w:pPr>
            <w:r w:rsidRPr="001E7F51">
              <w:rPr>
                <w:sz w:val="22"/>
                <w:szCs w:val="22"/>
              </w:rPr>
              <w:t>Maggie Gallagher</w:t>
            </w:r>
            <w:r w:rsidR="00F67B47" w:rsidRPr="001E7F51">
              <w:rPr>
                <w:sz w:val="22"/>
                <w:szCs w:val="22"/>
              </w:rPr>
              <w:t xml:space="preserve">, </w:t>
            </w:r>
            <w:r w:rsidRPr="001E7F51">
              <w:rPr>
                <w:sz w:val="22"/>
                <w:szCs w:val="22"/>
              </w:rPr>
              <w:t>Comptroller</w:t>
            </w:r>
          </w:p>
        </w:tc>
      </w:tr>
      <w:tr w:rsidR="00F67B47" w:rsidRPr="00631A9B" w:rsidTr="00152EF9">
        <w:trPr>
          <w:trHeight w:val="790"/>
        </w:trPr>
        <w:tc>
          <w:tcPr>
            <w:tcW w:w="1829" w:type="dxa"/>
          </w:tcPr>
          <w:p w:rsidR="00F67B47" w:rsidRPr="00631A9B" w:rsidRDefault="00F67B47" w:rsidP="00054255">
            <w:pPr>
              <w:spacing w:line="360" w:lineRule="auto"/>
              <w:rPr>
                <w:b/>
              </w:rPr>
            </w:pPr>
            <w:r w:rsidRPr="00631A9B">
              <w:rPr>
                <w:b/>
                <w:sz w:val="22"/>
              </w:rPr>
              <w:t>Subject:</w:t>
            </w:r>
          </w:p>
        </w:tc>
        <w:tc>
          <w:tcPr>
            <w:tcW w:w="8398" w:type="dxa"/>
          </w:tcPr>
          <w:p w:rsidR="00740B99" w:rsidRPr="001E4EC5" w:rsidRDefault="00D848C6" w:rsidP="0091086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</w:t>
            </w:r>
            <w:r w:rsidR="00CD19FD">
              <w:rPr>
                <w:b/>
                <w:sz w:val="22"/>
                <w:szCs w:val="22"/>
              </w:rPr>
              <w:t xml:space="preserve"> </w:t>
            </w:r>
            <w:r w:rsidR="00001223" w:rsidRPr="00697099">
              <w:rPr>
                <w:b/>
                <w:sz w:val="22"/>
                <w:szCs w:val="22"/>
              </w:rPr>
              <w:t>201</w:t>
            </w:r>
            <w:r w:rsidR="00701D6A">
              <w:rPr>
                <w:b/>
                <w:sz w:val="22"/>
                <w:szCs w:val="22"/>
              </w:rPr>
              <w:t>7</w:t>
            </w:r>
            <w:r w:rsidR="00001223">
              <w:rPr>
                <w:sz w:val="22"/>
                <w:szCs w:val="22"/>
              </w:rPr>
              <w:t xml:space="preserve"> </w:t>
            </w:r>
            <w:r w:rsidR="00631A9B" w:rsidRPr="001E7F51">
              <w:rPr>
                <w:sz w:val="22"/>
                <w:szCs w:val="22"/>
              </w:rPr>
              <w:t>Finance Report for the</w:t>
            </w:r>
            <w:r w:rsidR="006A599D">
              <w:rPr>
                <w:sz w:val="22"/>
                <w:szCs w:val="22"/>
              </w:rPr>
              <w:t xml:space="preserve"> </w:t>
            </w:r>
            <w:r w:rsidR="00001223">
              <w:rPr>
                <w:sz w:val="22"/>
                <w:szCs w:val="22"/>
              </w:rPr>
              <w:t>SRA</w:t>
            </w:r>
          </w:p>
        </w:tc>
      </w:tr>
    </w:tbl>
    <w:p w:rsidR="00F67B47" w:rsidRPr="00E62C9A" w:rsidRDefault="00F67B47" w:rsidP="00054255">
      <w:pPr>
        <w:pBdr>
          <w:top w:val="double" w:sz="4" w:space="1" w:color="auto"/>
        </w:pBdr>
        <w:rPr>
          <w:rFonts w:ascii="Tahoma" w:hAnsi="Tahoma" w:cs="Tahoma"/>
          <w:sz w:val="22"/>
          <w:szCs w:val="22"/>
        </w:rPr>
      </w:pPr>
    </w:p>
    <w:p w:rsidR="00D848C6" w:rsidRDefault="00D848C6" w:rsidP="00500EE3">
      <w:pPr>
        <w:rPr>
          <w:sz w:val="22"/>
          <w:szCs w:val="22"/>
        </w:rPr>
      </w:pPr>
    </w:p>
    <w:p w:rsidR="00500AA2" w:rsidRDefault="00500AA2" w:rsidP="00500EE3">
      <w:pPr>
        <w:rPr>
          <w:sz w:val="22"/>
          <w:szCs w:val="22"/>
        </w:rPr>
      </w:pPr>
    </w:p>
    <w:p w:rsidR="00D848C6" w:rsidRDefault="00D848C6" w:rsidP="00D848C6">
      <w:pPr>
        <w:rPr>
          <w:sz w:val="22"/>
          <w:szCs w:val="22"/>
        </w:rPr>
      </w:pPr>
      <w:r>
        <w:rPr>
          <w:sz w:val="22"/>
          <w:szCs w:val="22"/>
        </w:rPr>
        <w:t xml:space="preserve">The MSU remains in a strong financial position with a liquidity ratio of $2.84 of current assets to meet every $1.00 of current liabilities.  The MSU is showing a net loss for the month of July in the amount of $1,448,064.29.  This is a major change from last year’s net profit of $781,014.80.  The difference is due to the timing of expenses incurred for the Student Health &amp; Dental plans.  SSQ was paid a little over $1,000,000 while these costs were not paid until September of last year.  Also, last year </w:t>
      </w:r>
      <w:proofErr w:type="gramStart"/>
      <w:r>
        <w:rPr>
          <w:sz w:val="22"/>
          <w:szCs w:val="22"/>
        </w:rPr>
        <w:t>at this time</w:t>
      </w:r>
      <w:proofErr w:type="gramEnd"/>
      <w:r>
        <w:rPr>
          <w:sz w:val="22"/>
          <w:szCs w:val="22"/>
        </w:rPr>
        <w:t xml:space="preserve">, we had received an advance of $1,000,000 for our student fees but did not received any monies in July this year.  As per our agreement with the University, we will receive $500,000 in August. </w:t>
      </w:r>
    </w:p>
    <w:p w:rsidR="00AC7CA9" w:rsidRDefault="00AC7CA9" w:rsidP="00F34330">
      <w:pPr>
        <w:rPr>
          <w:sz w:val="22"/>
          <w:szCs w:val="22"/>
        </w:rPr>
      </w:pPr>
    </w:p>
    <w:p w:rsidR="00500AA2" w:rsidRDefault="00500AA2" w:rsidP="00F34330">
      <w:pPr>
        <w:rPr>
          <w:sz w:val="22"/>
          <w:szCs w:val="22"/>
        </w:rPr>
      </w:pPr>
    </w:p>
    <w:p w:rsidR="00337236" w:rsidRDefault="00337236" w:rsidP="00337236">
      <w:pPr>
        <w:rPr>
          <w:b/>
          <w:color w:val="660033"/>
          <w:sz w:val="22"/>
          <w:szCs w:val="22"/>
          <w:u w:val="single"/>
        </w:rPr>
      </w:pPr>
      <w:r>
        <w:rPr>
          <w:b/>
          <w:color w:val="660033"/>
          <w:sz w:val="22"/>
          <w:szCs w:val="22"/>
          <w:u w:val="single"/>
        </w:rPr>
        <w:t>Administration</w:t>
      </w:r>
    </w:p>
    <w:p w:rsidR="00337236" w:rsidRPr="00651D8A" w:rsidRDefault="00337236" w:rsidP="00337236">
      <w:pPr>
        <w:rPr>
          <w:sz w:val="22"/>
          <w:szCs w:val="22"/>
        </w:rPr>
      </w:pPr>
      <w:r>
        <w:rPr>
          <w:sz w:val="22"/>
          <w:szCs w:val="22"/>
        </w:rPr>
        <w:t>Administration is showing a net loss for the</w:t>
      </w:r>
      <w:r>
        <w:rPr>
          <w:sz w:val="22"/>
          <w:szCs w:val="22"/>
        </w:rPr>
        <w:t xml:space="preserve"> year </w:t>
      </w:r>
      <w:r>
        <w:rPr>
          <w:sz w:val="22"/>
          <w:szCs w:val="22"/>
        </w:rPr>
        <w:t>in the amount of $</w:t>
      </w:r>
      <w:r>
        <w:rPr>
          <w:sz w:val="22"/>
          <w:szCs w:val="22"/>
        </w:rPr>
        <w:t>22</w:t>
      </w:r>
      <w:r>
        <w:rPr>
          <w:sz w:val="22"/>
          <w:szCs w:val="22"/>
        </w:rPr>
        <w:t>2,</w:t>
      </w:r>
      <w:r>
        <w:rPr>
          <w:sz w:val="22"/>
          <w:szCs w:val="22"/>
        </w:rPr>
        <w:t>803</w:t>
      </w:r>
      <w:r>
        <w:rPr>
          <w:sz w:val="22"/>
          <w:szCs w:val="22"/>
        </w:rPr>
        <w:t>.</w:t>
      </w:r>
      <w:r>
        <w:rPr>
          <w:sz w:val="22"/>
          <w:szCs w:val="22"/>
        </w:rPr>
        <w:t>92</w:t>
      </w:r>
      <w:r>
        <w:rPr>
          <w:sz w:val="22"/>
          <w:szCs w:val="22"/>
        </w:rPr>
        <w:t xml:space="preserve"> which is $</w:t>
      </w:r>
      <w:r>
        <w:rPr>
          <w:sz w:val="22"/>
          <w:szCs w:val="22"/>
        </w:rPr>
        <w:t>26</w:t>
      </w:r>
      <w:r>
        <w:rPr>
          <w:sz w:val="22"/>
          <w:szCs w:val="22"/>
        </w:rPr>
        <w:t>,</w:t>
      </w:r>
      <w:r>
        <w:rPr>
          <w:sz w:val="22"/>
          <w:szCs w:val="22"/>
        </w:rPr>
        <w:t>814</w:t>
      </w:r>
      <w:r>
        <w:rPr>
          <w:sz w:val="22"/>
          <w:szCs w:val="22"/>
        </w:rPr>
        <w:t>.</w:t>
      </w:r>
      <w:r>
        <w:rPr>
          <w:sz w:val="22"/>
          <w:szCs w:val="22"/>
        </w:rPr>
        <w:t>73</w:t>
      </w:r>
      <w:r>
        <w:rPr>
          <w:sz w:val="22"/>
          <w:szCs w:val="22"/>
        </w:rPr>
        <w:t xml:space="preserve"> or 1</w:t>
      </w:r>
      <w:r>
        <w:rPr>
          <w:sz w:val="22"/>
          <w:szCs w:val="22"/>
        </w:rPr>
        <w:t>4</w:t>
      </w:r>
      <w:r>
        <w:rPr>
          <w:sz w:val="22"/>
          <w:szCs w:val="22"/>
        </w:rPr>
        <w:t>% higher than the net loss for last July (after</w:t>
      </w:r>
      <w:r>
        <w:rPr>
          <w:sz w:val="22"/>
          <w:szCs w:val="22"/>
        </w:rPr>
        <w:t xml:space="preserve"> making an</w:t>
      </w:r>
      <w:r>
        <w:rPr>
          <w:sz w:val="22"/>
          <w:szCs w:val="22"/>
        </w:rPr>
        <w:t xml:space="preserve"> adjust</w:t>
      </w:r>
      <w:r>
        <w:rPr>
          <w:sz w:val="22"/>
          <w:szCs w:val="22"/>
        </w:rPr>
        <w:t>ment</w:t>
      </w:r>
      <w:r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$1,000,000 fee revenue).  The main contributors are Computer Supplies and Software due to the additional work done on the website for the ticketing portal and bank charges.  </w:t>
      </w:r>
    </w:p>
    <w:p w:rsidR="00500AA2" w:rsidRDefault="00500AA2" w:rsidP="00F34330">
      <w:pPr>
        <w:rPr>
          <w:sz w:val="22"/>
          <w:szCs w:val="22"/>
        </w:rPr>
      </w:pPr>
    </w:p>
    <w:p w:rsidR="0048750F" w:rsidRPr="0075186B" w:rsidRDefault="00C10DA4" w:rsidP="00631A9B">
      <w:pPr>
        <w:rPr>
          <w:b/>
          <w:color w:val="660033"/>
          <w:sz w:val="22"/>
          <w:szCs w:val="22"/>
          <w:u w:val="single"/>
        </w:rPr>
      </w:pPr>
      <w:r w:rsidRPr="0075186B">
        <w:rPr>
          <w:b/>
          <w:color w:val="660033"/>
          <w:sz w:val="22"/>
          <w:szCs w:val="22"/>
          <w:u w:val="single"/>
        </w:rPr>
        <w:t>Business Units</w:t>
      </w:r>
    </w:p>
    <w:p w:rsidR="0048750F" w:rsidRDefault="00A727AE" w:rsidP="00631A9B">
      <w:pPr>
        <w:rPr>
          <w:sz w:val="22"/>
          <w:szCs w:val="22"/>
        </w:rPr>
      </w:pPr>
      <w:r>
        <w:rPr>
          <w:sz w:val="22"/>
          <w:szCs w:val="22"/>
        </w:rPr>
        <w:t xml:space="preserve">The business units are showing a </w:t>
      </w:r>
      <w:r w:rsidR="00D71614">
        <w:rPr>
          <w:sz w:val="22"/>
          <w:szCs w:val="22"/>
        </w:rPr>
        <w:t xml:space="preserve">net </w:t>
      </w:r>
      <w:r w:rsidR="00063702">
        <w:rPr>
          <w:sz w:val="22"/>
          <w:szCs w:val="22"/>
        </w:rPr>
        <w:t>loss</w:t>
      </w:r>
      <w:r>
        <w:rPr>
          <w:sz w:val="22"/>
          <w:szCs w:val="22"/>
        </w:rPr>
        <w:t xml:space="preserve"> for the </w:t>
      </w:r>
      <w:r w:rsidR="003627B0">
        <w:rPr>
          <w:sz w:val="22"/>
          <w:szCs w:val="22"/>
        </w:rPr>
        <w:t>year</w:t>
      </w:r>
      <w:r>
        <w:rPr>
          <w:sz w:val="22"/>
          <w:szCs w:val="22"/>
        </w:rPr>
        <w:t xml:space="preserve"> of $</w:t>
      </w:r>
      <w:r w:rsidR="003627B0">
        <w:rPr>
          <w:sz w:val="22"/>
          <w:szCs w:val="22"/>
        </w:rPr>
        <w:t>51</w:t>
      </w:r>
      <w:r>
        <w:rPr>
          <w:sz w:val="22"/>
          <w:szCs w:val="22"/>
        </w:rPr>
        <w:t>,</w:t>
      </w:r>
      <w:r w:rsidR="003627B0">
        <w:rPr>
          <w:sz w:val="22"/>
          <w:szCs w:val="22"/>
        </w:rPr>
        <w:t>331.12</w:t>
      </w:r>
      <w:r w:rsidR="00796592">
        <w:rPr>
          <w:sz w:val="22"/>
          <w:szCs w:val="22"/>
        </w:rPr>
        <w:t xml:space="preserve">.  </w:t>
      </w:r>
      <w:r w:rsidR="00063702">
        <w:rPr>
          <w:sz w:val="22"/>
          <w:szCs w:val="22"/>
        </w:rPr>
        <w:t xml:space="preserve">This is </w:t>
      </w:r>
      <w:proofErr w:type="gramStart"/>
      <w:r w:rsidR="00063702">
        <w:rPr>
          <w:sz w:val="22"/>
          <w:szCs w:val="22"/>
        </w:rPr>
        <w:t>a big improvement</w:t>
      </w:r>
      <w:proofErr w:type="gramEnd"/>
      <w:r w:rsidR="00063702">
        <w:rPr>
          <w:sz w:val="22"/>
          <w:szCs w:val="22"/>
        </w:rPr>
        <w:t xml:space="preserve"> over last year</w:t>
      </w:r>
      <w:r w:rsidR="00A50D0D">
        <w:rPr>
          <w:sz w:val="22"/>
          <w:szCs w:val="22"/>
        </w:rPr>
        <w:t>’s YTD net loss of $118,968.40</w:t>
      </w:r>
      <w:r w:rsidR="00063702">
        <w:rPr>
          <w:sz w:val="22"/>
          <w:szCs w:val="22"/>
        </w:rPr>
        <w:t>.</w:t>
      </w:r>
      <w:r w:rsidR="00A50D0D">
        <w:rPr>
          <w:sz w:val="22"/>
          <w:szCs w:val="22"/>
        </w:rPr>
        <w:t xml:space="preserve">  Union Market </w:t>
      </w:r>
      <w:r w:rsidR="003627B0">
        <w:rPr>
          <w:sz w:val="22"/>
          <w:szCs w:val="22"/>
        </w:rPr>
        <w:t>posted</w:t>
      </w:r>
      <w:r w:rsidR="00A50D0D">
        <w:rPr>
          <w:sz w:val="22"/>
          <w:szCs w:val="22"/>
        </w:rPr>
        <w:t xml:space="preserve"> a net profit for the year of $20,427.59 which is $10,789.24 or 112% over last year’s net profit.</w:t>
      </w:r>
      <w:r w:rsidR="00063702">
        <w:rPr>
          <w:sz w:val="22"/>
          <w:szCs w:val="22"/>
        </w:rPr>
        <w:t xml:space="preserve">  </w:t>
      </w:r>
      <w:r w:rsidR="00A50D0D">
        <w:rPr>
          <w:sz w:val="22"/>
          <w:szCs w:val="22"/>
        </w:rPr>
        <w:t xml:space="preserve">Twelve Eighty and Underground both have net losses for the year, but these losses are lower than last year’s net losses.  </w:t>
      </w:r>
      <w:r w:rsidR="001C59E5">
        <w:rPr>
          <w:sz w:val="22"/>
          <w:szCs w:val="22"/>
        </w:rPr>
        <w:t>B</w:t>
      </w:r>
      <w:r w:rsidR="002925E2">
        <w:rPr>
          <w:sz w:val="22"/>
          <w:szCs w:val="22"/>
        </w:rPr>
        <w:t xml:space="preserve">usiness profitability </w:t>
      </w:r>
      <w:r>
        <w:rPr>
          <w:sz w:val="22"/>
          <w:szCs w:val="22"/>
        </w:rPr>
        <w:t>i</w:t>
      </w:r>
      <w:r w:rsidR="00436042">
        <w:rPr>
          <w:sz w:val="22"/>
          <w:szCs w:val="22"/>
        </w:rPr>
        <w:t xml:space="preserve">s </w:t>
      </w:r>
      <w:r w:rsidR="00063702">
        <w:rPr>
          <w:sz w:val="22"/>
          <w:szCs w:val="22"/>
        </w:rPr>
        <w:t>down</w:t>
      </w:r>
      <w:r>
        <w:rPr>
          <w:sz w:val="22"/>
          <w:szCs w:val="22"/>
        </w:rPr>
        <w:t xml:space="preserve"> with the businesses</w:t>
      </w:r>
      <w:r w:rsidR="00063702">
        <w:rPr>
          <w:sz w:val="22"/>
          <w:szCs w:val="22"/>
        </w:rPr>
        <w:t xml:space="preserve"> losing</w:t>
      </w:r>
      <w:r>
        <w:rPr>
          <w:sz w:val="22"/>
          <w:szCs w:val="22"/>
        </w:rPr>
        <w:t xml:space="preserve"> </w:t>
      </w:r>
      <w:r w:rsidR="00A50D0D">
        <w:rPr>
          <w:sz w:val="22"/>
          <w:szCs w:val="22"/>
        </w:rPr>
        <w:t>26</w:t>
      </w:r>
      <w:r w:rsidR="00347AEE">
        <w:rPr>
          <w:sz w:val="22"/>
          <w:szCs w:val="22"/>
        </w:rPr>
        <w:t xml:space="preserve"> </w:t>
      </w:r>
      <w:r>
        <w:rPr>
          <w:sz w:val="22"/>
          <w:szCs w:val="22"/>
        </w:rPr>
        <w:t>cents on every $1.00 of sales.</w:t>
      </w:r>
      <w:r w:rsidR="002925E2">
        <w:rPr>
          <w:sz w:val="22"/>
          <w:szCs w:val="22"/>
        </w:rPr>
        <w:t xml:space="preserve">  </w:t>
      </w:r>
      <w:r w:rsidR="00084332">
        <w:rPr>
          <w:sz w:val="22"/>
          <w:szCs w:val="22"/>
        </w:rPr>
        <w:t xml:space="preserve">  </w:t>
      </w:r>
      <w:r w:rsidR="00CE03B7">
        <w:rPr>
          <w:sz w:val="22"/>
          <w:szCs w:val="22"/>
        </w:rPr>
        <w:t xml:space="preserve">  </w:t>
      </w:r>
      <w:r w:rsidR="00843472">
        <w:rPr>
          <w:sz w:val="22"/>
          <w:szCs w:val="22"/>
        </w:rPr>
        <w:t xml:space="preserve">  </w:t>
      </w:r>
    </w:p>
    <w:tbl>
      <w:tblPr>
        <w:tblW w:w="4543" w:type="dxa"/>
        <w:tblInd w:w="93" w:type="dxa"/>
        <w:tblLook w:val="04A0" w:firstRow="1" w:lastRow="0" w:firstColumn="1" w:lastColumn="0" w:noHBand="0" w:noVBand="1"/>
      </w:tblPr>
      <w:tblGrid>
        <w:gridCol w:w="4543"/>
      </w:tblGrid>
      <w:tr w:rsidR="002925E2" w:rsidRPr="002925E2" w:rsidTr="002925E2">
        <w:trPr>
          <w:trHeight w:val="25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E2" w:rsidRPr="002925E2" w:rsidRDefault="002925E2" w:rsidP="002925E2">
            <w:pPr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</w:tc>
      </w:tr>
    </w:tbl>
    <w:p w:rsidR="00005403" w:rsidRPr="00740B99" w:rsidRDefault="00794EB1" w:rsidP="00631A9B">
      <w:pPr>
        <w:rPr>
          <w:b/>
          <w:color w:val="660033"/>
          <w:sz w:val="22"/>
          <w:szCs w:val="22"/>
          <w:u w:val="single"/>
        </w:rPr>
      </w:pPr>
      <w:r>
        <w:rPr>
          <w:b/>
          <w:color w:val="660033"/>
          <w:sz w:val="22"/>
          <w:szCs w:val="22"/>
          <w:u w:val="single"/>
        </w:rPr>
        <w:t>Service Operations</w:t>
      </w:r>
    </w:p>
    <w:p w:rsidR="00D315DB" w:rsidRPr="00D52007" w:rsidRDefault="00936F39" w:rsidP="00D315DB">
      <w:pPr>
        <w:rPr>
          <w:sz w:val="22"/>
          <w:szCs w:val="22"/>
        </w:rPr>
      </w:pPr>
      <w:r>
        <w:rPr>
          <w:sz w:val="22"/>
          <w:szCs w:val="22"/>
        </w:rPr>
        <w:t>Compass t</w:t>
      </w:r>
      <w:r w:rsidR="00D315DB">
        <w:rPr>
          <w:sz w:val="22"/>
          <w:szCs w:val="22"/>
        </w:rPr>
        <w:t xml:space="preserve">icket sales (HSR, GO, </w:t>
      </w:r>
      <w:proofErr w:type="spellStart"/>
      <w:r w:rsidR="00D315DB">
        <w:rPr>
          <w:sz w:val="22"/>
          <w:szCs w:val="22"/>
        </w:rPr>
        <w:t>Cda</w:t>
      </w:r>
      <w:proofErr w:type="spellEnd"/>
      <w:r w:rsidR="00D315DB">
        <w:rPr>
          <w:sz w:val="22"/>
          <w:szCs w:val="22"/>
        </w:rPr>
        <w:t xml:space="preserve">. Coach &amp; Greyhound) are up for the </w:t>
      </w:r>
      <w:r>
        <w:rPr>
          <w:sz w:val="22"/>
          <w:szCs w:val="22"/>
        </w:rPr>
        <w:t xml:space="preserve">year </w:t>
      </w:r>
      <w:r w:rsidR="00D315DB">
        <w:rPr>
          <w:sz w:val="22"/>
          <w:szCs w:val="22"/>
        </w:rPr>
        <w:t>from last year by $</w:t>
      </w:r>
      <w:r>
        <w:rPr>
          <w:sz w:val="22"/>
          <w:szCs w:val="22"/>
        </w:rPr>
        <w:t>65</w:t>
      </w:r>
      <w:r w:rsidR="00D315DB">
        <w:rPr>
          <w:sz w:val="22"/>
          <w:szCs w:val="22"/>
        </w:rPr>
        <w:t>,</w:t>
      </w:r>
      <w:r>
        <w:rPr>
          <w:sz w:val="22"/>
          <w:szCs w:val="22"/>
        </w:rPr>
        <w:t>180</w:t>
      </w:r>
      <w:r w:rsidR="00D315DB">
        <w:rPr>
          <w:sz w:val="22"/>
          <w:szCs w:val="22"/>
        </w:rPr>
        <w:t>.</w:t>
      </w:r>
      <w:r>
        <w:rPr>
          <w:sz w:val="22"/>
          <w:szCs w:val="22"/>
        </w:rPr>
        <w:t>23 or 58</w:t>
      </w:r>
      <w:r w:rsidR="00D315DB">
        <w:rPr>
          <w:sz w:val="22"/>
          <w:szCs w:val="22"/>
        </w:rPr>
        <w:t xml:space="preserve">%.  This increase in ticket sales provides Compass with increased commissions helping them to maintain a modest net loss for the year.  Their </w:t>
      </w:r>
      <w:r w:rsidR="00D315DB" w:rsidRPr="00D52007">
        <w:rPr>
          <w:sz w:val="22"/>
          <w:szCs w:val="22"/>
        </w:rPr>
        <w:t xml:space="preserve">net </w:t>
      </w:r>
      <w:r w:rsidR="00D315DB">
        <w:rPr>
          <w:sz w:val="22"/>
          <w:szCs w:val="22"/>
        </w:rPr>
        <w:t>loss</w:t>
      </w:r>
      <w:r w:rsidR="00D315DB" w:rsidRPr="00D52007">
        <w:rPr>
          <w:sz w:val="22"/>
          <w:szCs w:val="22"/>
        </w:rPr>
        <w:t xml:space="preserve"> for</w:t>
      </w:r>
      <w:r w:rsidR="00D315DB">
        <w:rPr>
          <w:sz w:val="22"/>
          <w:szCs w:val="22"/>
        </w:rPr>
        <w:t xml:space="preserve"> the year is $4,294.57 which is $5,256.36 or 55% lower than the last year’s net loss of $9,550.93.  </w:t>
      </w:r>
    </w:p>
    <w:p w:rsidR="00063702" w:rsidRDefault="00063702" w:rsidP="00063702">
      <w:pPr>
        <w:rPr>
          <w:sz w:val="22"/>
          <w:szCs w:val="22"/>
        </w:rPr>
      </w:pPr>
    </w:p>
    <w:p w:rsidR="00D315DB" w:rsidRDefault="00D315DB" w:rsidP="00D315DB">
      <w:pPr>
        <w:rPr>
          <w:sz w:val="22"/>
          <w:szCs w:val="22"/>
        </w:rPr>
      </w:pPr>
      <w:bookmarkStart w:id="1" w:name="_Hlk488405731"/>
      <w:r>
        <w:rPr>
          <w:sz w:val="22"/>
          <w:szCs w:val="22"/>
        </w:rPr>
        <w:t xml:space="preserve">Campus Events is showing a large net loss for the </w:t>
      </w:r>
      <w:r w:rsidR="00936F39">
        <w:rPr>
          <w:sz w:val="22"/>
          <w:szCs w:val="22"/>
        </w:rPr>
        <w:t>year</w:t>
      </w:r>
      <w:r>
        <w:rPr>
          <w:sz w:val="22"/>
          <w:szCs w:val="22"/>
        </w:rPr>
        <w:t xml:space="preserve"> in the amount $</w:t>
      </w:r>
      <w:r w:rsidR="00936F39">
        <w:rPr>
          <w:sz w:val="22"/>
          <w:szCs w:val="22"/>
        </w:rPr>
        <w:t>219</w:t>
      </w:r>
      <w:r>
        <w:rPr>
          <w:sz w:val="22"/>
          <w:szCs w:val="22"/>
        </w:rPr>
        <w:t>,</w:t>
      </w:r>
      <w:r w:rsidR="00936F39">
        <w:rPr>
          <w:sz w:val="22"/>
          <w:szCs w:val="22"/>
        </w:rPr>
        <w:t>793</w:t>
      </w:r>
      <w:r>
        <w:rPr>
          <w:sz w:val="22"/>
          <w:szCs w:val="22"/>
        </w:rPr>
        <w:t>.3</w:t>
      </w:r>
      <w:r w:rsidR="00936F39">
        <w:rPr>
          <w:sz w:val="22"/>
          <w:szCs w:val="22"/>
        </w:rPr>
        <w:t>0</w:t>
      </w:r>
      <w:r>
        <w:rPr>
          <w:sz w:val="22"/>
          <w:szCs w:val="22"/>
        </w:rPr>
        <w:t xml:space="preserve"> which is $1</w:t>
      </w:r>
      <w:r w:rsidR="00936F39">
        <w:rPr>
          <w:sz w:val="22"/>
          <w:szCs w:val="22"/>
        </w:rPr>
        <w:t>56</w:t>
      </w:r>
      <w:r>
        <w:rPr>
          <w:sz w:val="22"/>
          <w:szCs w:val="22"/>
        </w:rPr>
        <w:t>,</w:t>
      </w:r>
      <w:r w:rsidR="00936F39">
        <w:rPr>
          <w:sz w:val="22"/>
          <w:szCs w:val="22"/>
        </w:rPr>
        <w:t>993</w:t>
      </w:r>
      <w:r>
        <w:rPr>
          <w:sz w:val="22"/>
          <w:szCs w:val="22"/>
        </w:rPr>
        <w:t>.</w:t>
      </w:r>
      <w:r w:rsidR="00936F39">
        <w:rPr>
          <w:sz w:val="22"/>
          <w:szCs w:val="22"/>
        </w:rPr>
        <w:t>46</w:t>
      </w:r>
      <w:r>
        <w:rPr>
          <w:sz w:val="22"/>
          <w:szCs w:val="22"/>
        </w:rPr>
        <w:t xml:space="preserve"> or </w:t>
      </w:r>
      <w:r w:rsidR="00936F39">
        <w:rPr>
          <w:sz w:val="22"/>
          <w:szCs w:val="22"/>
        </w:rPr>
        <w:t>250</w:t>
      </w:r>
      <w:r>
        <w:rPr>
          <w:sz w:val="22"/>
          <w:szCs w:val="22"/>
        </w:rPr>
        <w:t xml:space="preserve">% higher than last </w:t>
      </w:r>
      <w:r w:rsidR="00936F39">
        <w:rPr>
          <w:sz w:val="22"/>
          <w:szCs w:val="22"/>
        </w:rPr>
        <w:t>year’s</w:t>
      </w:r>
      <w:r>
        <w:rPr>
          <w:sz w:val="22"/>
          <w:szCs w:val="22"/>
        </w:rPr>
        <w:t xml:space="preserve"> net loss.  The reason for the increase is</w:t>
      </w:r>
      <w:r w:rsidR="00936F39">
        <w:rPr>
          <w:sz w:val="22"/>
          <w:szCs w:val="22"/>
        </w:rPr>
        <w:t xml:space="preserve"> with the</w:t>
      </w:r>
      <w:r>
        <w:rPr>
          <w:sz w:val="22"/>
          <w:szCs w:val="22"/>
        </w:rPr>
        <w:t xml:space="preserve"> timing of events.  Various acts/concerts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be booked and paid for now while ticket sales for these acts will not be dep</w:t>
      </w:r>
      <w:r w:rsidR="00625C0A">
        <w:rPr>
          <w:sz w:val="22"/>
          <w:szCs w:val="22"/>
        </w:rPr>
        <w:t>osited until August and</w:t>
      </w:r>
      <w:r>
        <w:rPr>
          <w:sz w:val="22"/>
          <w:szCs w:val="22"/>
        </w:rPr>
        <w:t xml:space="preserve"> September.</w:t>
      </w:r>
    </w:p>
    <w:bookmarkEnd w:id="1"/>
    <w:p w:rsidR="001F40C4" w:rsidRDefault="001F40C4" w:rsidP="00631A9B">
      <w:pPr>
        <w:rPr>
          <w:sz w:val="22"/>
          <w:szCs w:val="22"/>
        </w:rPr>
      </w:pPr>
    </w:p>
    <w:p w:rsidR="00D515DE" w:rsidRPr="00740B99" w:rsidRDefault="00A26F39" w:rsidP="00D515DE">
      <w:pPr>
        <w:rPr>
          <w:b/>
          <w:color w:val="660033"/>
          <w:sz w:val="22"/>
          <w:szCs w:val="22"/>
          <w:u w:val="single"/>
        </w:rPr>
      </w:pPr>
      <w:r>
        <w:rPr>
          <w:b/>
          <w:color w:val="660033"/>
          <w:sz w:val="22"/>
          <w:szCs w:val="22"/>
          <w:u w:val="single"/>
        </w:rPr>
        <w:t>Zero Cost Centre - C</w:t>
      </w:r>
      <w:r w:rsidR="00D515DE">
        <w:rPr>
          <w:b/>
          <w:color w:val="660033"/>
          <w:sz w:val="22"/>
          <w:szCs w:val="22"/>
          <w:u w:val="single"/>
        </w:rPr>
        <w:t>hild Care Centre</w:t>
      </w:r>
    </w:p>
    <w:p w:rsidR="00A26F39" w:rsidRDefault="00A26F39" w:rsidP="00A26F39">
      <w:pPr>
        <w:rPr>
          <w:sz w:val="22"/>
          <w:szCs w:val="22"/>
        </w:rPr>
      </w:pPr>
      <w:bookmarkStart w:id="2" w:name="_Hlk486253869"/>
      <w:r>
        <w:rPr>
          <w:sz w:val="22"/>
          <w:szCs w:val="22"/>
        </w:rPr>
        <w:t xml:space="preserve">The Child Care Centre is showing a net </w:t>
      </w:r>
      <w:r w:rsidR="00BD6A30">
        <w:rPr>
          <w:sz w:val="22"/>
          <w:szCs w:val="22"/>
        </w:rPr>
        <w:t>profit for the year in the amount of $13,228.35 which is $2,292.03 or 15% lower than last year’s net profit.  The main reason for the decrease is a reduction in eligible government grants for student placements through the university.</w:t>
      </w:r>
      <w:r>
        <w:rPr>
          <w:sz w:val="22"/>
          <w:szCs w:val="22"/>
        </w:rPr>
        <w:t xml:space="preserve">  </w:t>
      </w:r>
    </w:p>
    <w:bookmarkEnd w:id="2"/>
    <w:p w:rsidR="00005403" w:rsidRDefault="00D515DE" w:rsidP="00631A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6654" w:rsidRDefault="00866654" w:rsidP="00866654">
      <w:pPr>
        <w:rPr>
          <w:sz w:val="22"/>
          <w:szCs w:val="22"/>
        </w:rPr>
      </w:pPr>
      <w:r>
        <w:rPr>
          <w:b/>
          <w:color w:val="660033"/>
          <w:sz w:val="22"/>
          <w:szCs w:val="22"/>
          <w:u w:val="single"/>
        </w:rPr>
        <w:lastRenderedPageBreak/>
        <w:t>Committees &amp; Services</w:t>
      </w:r>
      <w:r>
        <w:rPr>
          <w:sz w:val="22"/>
          <w:szCs w:val="22"/>
        </w:rPr>
        <w:t xml:space="preserve"> </w:t>
      </w:r>
    </w:p>
    <w:p w:rsidR="00866654" w:rsidRDefault="00500AA2" w:rsidP="00866654">
      <w:pPr>
        <w:rPr>
          <w:sz w:val="22"/>
          <w:szCs w:val="22"/>
        </w:rPr>
      </w:pPr>
      <w:r>
        <w:rPr>
          <w:sz w:val="22"/>
          <w:szCs w:val="22"/>
        </w:rPr>
        <w:t xml:space="preserve">Overall expenses for Committees and Services are up from last by $25,463.61 or 13%.  This is mainly due to the increase in part-time wages over the summer months.  Macycle is doing much better having brought in </w:t>
      </w:r>
      <w:r w:rsidR="00A57D52">
        <w:rPr>
          <w:sz w:val="22"/>
          <w:szCs w:val="22"/>
        </w:rPr>
        <w:t>$6,099.15 in sales which covers about 81% of the total parts purchased.  Farmstand, however, is not doing as well as last year.  They are showing a net loss of $8,025.33 which is $2,920.70 or 57% higher than last year’s net loss.</w:t>
      </w:r>
    </w:p>
    <w:p w:rsidR="00866654" w:rsidRDefault="00866654" w:rsidP="00866654">
      <w:pPr>
        <w:rPr>
          <w:sz w:val="22"/>
          <w:szCs w:val="22"/>
        </w:rPr>
      </w:pPr>
    </w:p>
    <w:p w:rsidR="00866654" w:rsidRDefault="00866654" w:rsidP="00866654">
      <w:pPr>
        <w:rPr>
          <w:sz w:val="22"/>
          <w:szCs w:val="22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3522"/>
        <w:gridCol w:w="1266"/>
        <w:gridCol w:w="1250"/>
        <w:gridCol w:w="1400"/>
        <w:gridCol w:w="1316"/>
      </w:tblGrid>
      <w:tr w:rsidR="00D21DA2" w:rsidRPr="00D21DA2" w:rsidTr="00D21DA2">
        <w:trPr>
          <w:trHeight w:val="27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1"/>
                <w:szCs w:val="21"/>
                <w:lang w:val="en-CA" w:eastAsia="en-CA"/>
              </w:rPr>
            </w:pPr>
            <w:r w:rsidRPr="00D21DA2">
              <w:rPr>
                <w:rFonts w:ascii="Arial" w:hAnsi="Arial" w:cs="Arial"/>
                <w:b/>
                <w:bCs/>
                <w:i/>
                <w:iCs/>
                <w:color w:val="0000FF"/>
                <w:sz w:val="21"/>
                <w:szCs w:val="21"/>
                <w:lang w:val="en-CA" w:eastAsia="en-CA"/>
              </w:rPr>
              <w:t>McMaster Student's Union</w:t>
            </w:r>
          </w:p>
        </w:tc>
      </w:tr>
      <w:tr w:rsidR="00D21DA2" w:rsidRPr="00D21DA2" w:rsidTr="00D21DA2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D21DA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McMaster Students Union Inc.</w:t>
            </w:r>
          </w:p>
        </w:tc>
      </w:tr>
      <w:tr w:rsidR="00D21DA2" w:rsidRPr="00D21DA2" w:rsidTr="00D21DA2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  <w:r w:rsidRPr="00D21DA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  <w:t>For the Three Months Ending July 31, 2017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BUDGET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2017-18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2016-17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2017-18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Amount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YTD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YTD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b/>
                <w:bCs/>
                <w:color w:val="000000"/>
                <w:sz w:val="20"/>
                <w:szCs w:val="20"/>
                <w:lang w:val="en-CA" w:eastAsia="en-CA"/>
              </w:rPr>
              <w:t>Budget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Used %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All: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Dept. 0101 - Administration - 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222,803.92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(804,010.81)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(2,002,490.00)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(11.13%)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Business Units - 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51,331.12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118,968.40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(86,560.00)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(59.30%)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Zero Cost Centres - 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(13,228.35)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(15,520.38)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53,920.00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(24.53%)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Committees &amp; Services - 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225,808.21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200,344.60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1,246,952.00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18.11%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Service Operations - 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247,442.78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93,490.39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787,600.00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31.42%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CFMU 93.3 Inc. - 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81,934.88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71,014.97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15,610.00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524.89%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Marmor Fund - 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>124.11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104,072.00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.00%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Student Health Plan Fund - 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>461,279.53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>1,215.66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(55,102.00)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(837.14%)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Student Dental Plan - All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>568,488.91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>1,421.30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(1,345.00)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(42,266.83%)</w:t>
            </w: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University Centre Building Fund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(15,000.00)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.00%</w:t>
            </w:r>
          </w:p>
        </w:tc>
      </w:tr>
      <w:tr w:rsidR="00D21DA2" w:rsidRPr="00D21DA2" w:rsidTr="00D21DA2">
        <w:trPr>
          <w:trHeight w:val="33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 xml:space="preserve">   Total All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>1,845,861.00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>(332,951.76)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D21DA2">
              <w:rPr>
                <w:sz w:val="20"/>
                <w:szCs w:val="20"/>
                <w:lang w:val="en-CA" w:eastAsia="en-CA"/>
              </w:rPr>
              <w:t>47,657.00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3,873.22%</w:t>
            </w:r>
          </w:p>
        </w:tc>
      </w:tr>
      <w:tr w:rsidR="00D21DA2" w:rsidRPr="00D21DA2" w:rsidTr="00D21DA2">
        <w:trPr>
          <w:trHeight w:val="27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 xml:space="preserve">All </w:t>
            </w:r>
            <w:proofErr w:type="gramStart"/>
            <w:r w:rsidRPr="00D21DA2">
              <w:rPr>
                <w:color w:val="000000"/>
                <w:sz w:val="20"/>
                <w:szCs w:val="20"/>
                <w:lang w:val="en-CA" w:eastAsia="en-CA"/>
              </w:rPr>
              <w:t>By</w:t>
            </w:r>
            <w:proofErr w:type="gramEnd"/>
            <w:r w:rsidRPr="00D21DA2">
              <w:rPr>
                <w:color w:val="000000"/>
                <w:sz w:val="20"/>
                <w:szCs w:val="20"/>
                <w:lang w:val="en-CA" w:eastAsia="en-CA"/>
              </w:rPr>
              <w:t xml:space="preserve"> Fund: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 xml:space="preserve">  TOTAL Operating Fund (incl. Marmor)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734,157.68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(406,603.69)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103,494.00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 xml:space="preserve">  TOTAL CFMU Fund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81,934.88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71,014.97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15,610.00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 xml:space="preserve">  TOTAL Student Health Plan Fund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461,279.53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1,215.66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(55,102.00)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 xml:space="preserve">  TOTAL Dental Plan Fund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568,488.91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1,421.30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(1,345.00)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2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 xml:space="preserve">  TOTAL Building Fund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0.00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(15,000.00)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D21DA2" w:rsidRPr="00D21DA2" w:rsidTr="00D21DA2">
        <w:trPr>
          <w:trHeight w:val="330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 xml:space="preserve">   Total All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1,845,861.00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(332,951.76)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  <w:r w:rsidRPr="00D21DA2">
              <w:rPr>
                <w:color w:val="000000"/>
                <w:sz w:val="20"/>
                <w:szCs w:val="20"/>
                <w:lang w:val="en-CA" w:eastAsia="en-CA"/>
              </w:rPr>
              <w:t>47,657.00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DA2" w:rsidRPr="00D21DA2" w:rsidRDefault="00D21DA2" w:rsidP="00D21DA2">
            <w:pPr>
              <w:jc w:val="right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:rsidR="00701D6A" w:rsidRDefault="00701D6A" w:rsidP="008E61C2">
      <w:pPr>
        <w:rPr>
          <w:sz w:val="22"/>
          <w:szCs w:val="22"/>
        </w:rPr>
      </w:pPr>
    </w:p>
    <w:p w:rsidR="0078165C" w:rsidRDefault="0078165C" w:rsidP="008E61C2">
      <w:pPr>
        <w:rPr>
          <w:sz w:val="22"/>
          <w:szCs w:val="22"/>
        </w:rPr>
      </w:pPr>
    </w:p>
    <w:p w:rsidR="00D21DA2" w:rsidRDefault="00D21DA2" w:rsidP="008E61C2">
      <w:pPr>
        <w:rPr>
          <w:sz w:val="22"/>
          <w:szCs w:val="22"/>
        </w:rPr>
      </w:pPr>
    </w:p>
    <w:p w:rsidR="00F869FD" w:rsidRDefault="00672E11" w:rsidP="008E61C2">
      <w:pPr>
        <w:rPr>
          <w:sz w:val="22"/>
          <w:szCs w:val="22"/>
        </w:rPr>
      </w:pPr>
      <w:r>
        <w:rPr>
          <w:sz w:val="22"/>
          <w:szCs w:val="22"/>
        </w:rPr>
        <w:t xml:space="preserve">Note that amounts shown above in brackets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are profits.  </w:t>
      </w:r>
      <w:r w:rsidR="00F90919">
        <w:rPr>
          <w:sz w:val="22"/>
          <w:szCs w:val="22"/>
        </w:rPr>
        <w:t>Please let me know if</w:t>
      </w:r>
      <w:r w:rsidR="008E61C2" w:rsidRPr="001E7F51">
        <w:rPr>
          <w:sz w:val="22"/>
          <w:szCs w:val="22"/>
        </w:rPr>
        <w:t xml:space="preserve"> you have any questions</w:t>
      </w:r>
      <w:r w:rsidR="000044C5">
        <w:rPr>
          <w:sz w:val="22"/>
          <w:szCs w:val="22"/>
        </w:rPr>
        <w:t xml:space="preserve">. </w:t>
      </w:r>
      <w:r w:rsidR="007E026E">
        <w:rPr>
          <w:sz w:val="22"/>
          <w:szCs w:val="22"/>
        </w:rPr>
        <w:t xml:space="preserve"> </w:t>
      </w:r>
      <w:r w:rsidR="008E61C2" w:rsidRPr="001E7F51">
        <w:rPr>
          <w:sz w:val="22"/>
          <w:szCs w:val="22"/>
        </w:rPr>
        <w:t xml:space="preserve">I </w:t>
      </w:r>
      <w:r w:rsidR="002F4345">
        <w:rPr>
          <w:sz w:val="22"/>
          <w:szCs w:val="22"/>
        </w:rPr>
        <w:t>w</w:t>
      </w:r>
      <w:r w:rsidR="00053701">
        <w:rPr>
          <w:sz w:val="22"/>
          <w:szCs w:val="22"/>
        </w:rPr>
        <w:t>ill</w:t>
      </w:r>
      <w:r w:rsidR="002F4345">
        <w:rPr>
          <w:sz w:val="22"/>
          <w:szCs w:val="22"/>
        </w:rPr>
        <w:t xml:space="preserve"> be happy to discuss </w:t>
      </w:r>
      <w:r w:rsidR="000857DB">
        <w:rPr>
          <w:sz w:val="22"/>
          <w:szCs w:val="22"/>
        </w:rPr>
        <w:t>this</w:t>
      </w:r>
      <w:r w:rsidR="002F4345">
        <w:rPr>
          <w:sz w:val="22"/>
          <w:szCs w:val="22"/>
        </w:rPr>
        <w:t xml:space="preserve"> with you any</w:t>
      </w:r>
      <w:r w:rsidR="008E61C2" w:rsidRPr="001E7F51">
        <w:rPr>
          <w:sz w:val="22"/>
          <w:szCs w:val="22"/>
        </w:rPr>
        <w:t xml:space="preserve"> time.</w:t>
      </w:r>
    </w:p>
    <w:p w:rsidR="00054255" w:rsidRDefault="00054255" w:rsidP="008E61C2">
      <w:pPr>
        <w:rPr>
          <w:sz w:val="22"/>
          <w:szCs w:val="22"/>
        </w:rPr>
      </w:pPr>
    </w:p>
    <w:p w:rsidR="00F67B47" w:rsidRPr="0047181C" w:rsidRDefault="00F67B47" w:rsidP="00F67B47">
      <w:pPr>
        <w:pBdr>
          <w:top w:val="double" w:sz="4" w:space="1" w:color="auto"/>
        </w:pBdr>
        <w:rPr>
          <w:rFonts w:ascii="Tahoma" w:hAnsi="Tahoma" w:cs="Tahoma"/>
          <w:b/>
          <w:sz w:val="20"/>
          <w:szCs w:val="22"/>
        </w:rPr>
      </w:pPr>
    </w:p>
    <w:sectPr w:rsidR="00F67B47" w:rsidRPr="0047181C" w:rsidSect="00546A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PHFA+Impac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41"/>
    <w:multiLevelType w:val="hybridMultilevel"/>
    <w:tmpl w:val="08C27C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F0769"/>
    <w:multiLevelType w:val="hybridMultilevel"/>
    <w:tmpl w:val="E0A46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47"/>
    <w:rsid w:val="00000D36"/>
    <w:rsid w:val="00001223"/>
    <w:rsid w:val="000044C5"/>
    <w:rsid w:val="00005180"/>
    <w:rsid w:val="00005403"/>
    <w:rsid w:val="0001198C"/>
    <w:rsid w:val="000145B3"/>
    <w:rsid w:val="00016444"/>
    <w:rsid w:val="000174E8"/>
    <w:rsid w:val="00020BF9"/>
    <w:rsid w:val="00022358"/>
    <w:rsid w:val="000245D1"/>
    <w:rsid w:val="0002599D"/>
    <w:rsid w:val="00030E40"/>
    <w:rsid w:val="00041B56"/>
    <w:rsid w:val="00050796"/>
    <w:rsid w:val="00053701"/>
    <w:rsid w:val="00054255"/>
    <w:rsid w:val="00061CA8"/>
    <w:rsid w:val="00063702"/>
    <w:rsid w:val="00063DF9"/>
    <w:rsid w:val="00070231"/>
    <w:rsid w:val="000709A8"/>
    <w:rsid w:val="00076A04"/>
    <w:rsid w:val="000806E6"/>
    <w:rsid w:val="00084332"/>
    <w:rsid w:val="000857DB"/>
    <w:rsid w:val="00087254"/>
    <w:rsid w:val="00096143"/>
    <w:rsid w:val="00097FE8"/>
    <w:rsid w:val="000A005E"/>
    <w:rsid w:val="000B5A92"/>
    <w:rsid w:val="000B7719"/>
    <w:rsid w:val="000D4896"/>
    <w:rsid w:val="000E0BD3"/>
    <w:rsid w:val="000E0D01"/>
    <w:rsid w:val="000E3DC5"/>
    <w:rsid w:val="000F1482"/>
    <w:rsid w:val="000F37AF"/>
    <w:rsid w:val="001007E3"/>
    <w:rsid w:val="00102E2C"/>
    <w:rsid w:val="00107562"/>
    <w:rsid w:val="001143FC"/>
    <w:rsid w:val="00115ED9"/>
    <w:rsid w:val="001165E5"/>
    <w:rsid w:val="00143B1B"/>
    <w:rsid w:val="001444D0"/>
    <w:rsid w:val="00151085"/>
    <w:rsid w:val="0015152E"/>
    <w:rsid w:val="00152EF9"/>
    <w:rsid w:val="00164563"/>
    <w:rsid w:val="00172508"/>
    <w:rsid w:val="00183E17"/>
    <w:rsid w:val="001856AF"/>
    <w:rsid w:val="00186E74"/>
    <w:rsid w:val="00195D87"/>
    <w:rsid w:val="001A6D09"/>
    <w:rsid w:val="001B7EAE"/>
    <w:rsid w:val="001C5769"/>
    <w:rsid w:val="001C59E5"/>
    <w:rsid w:val="001C6C08"/>
    <w:rsid w:val="001D371D"/>
    <w:rsid w:val="001D74DD"/>
    <w:rsid w:val="001E22E7"/>
    <w:rsid w:val="001E34A0"/>
    <w:rsid w:val="001E4EC5"/>
    <w:rsid w:val="001E7F51"/>
    <w:rsid w:val="001F250D"/>
    <w:rsid w:val="001F3662"/>
    <w:rsid w:val="001F40C4"/>
    <w:rsid w:val="001F6F0A"/>
    <w:rsid w:val="001F7A2E"/>
    <w:rsid w:val="002003D0"/>
    <w:rsid w:val="00205AE5"/>
    <w:rsid w:val="002071E6"/>
    <w:rsid w:val="00214140"/>
    <w:rsid w:val="00226F2A"/>
    <w:rsid w:val="0023425A"/>
    <w:rsid w:val="00236A4F"/>
    <w:rsid w:val="00237E85"/>
    <w:rsid w:val="002403CC"/>
    <w:rsid w:val="00243E21"/>
    <w:rsid w:val="00244542"/>
    <w:rsid w:val="00246199"/>
    <w:rsid w:val="002638E9"/>
    <w:rsid w:val="00266F08"/>
    <w:rsid w:val="002679FC"/>
    <w:rsid w:val="00273D57"/>
    <w:rsid w:val="00276965"/>
    <w:rsid w:val="00276E7C"/>
    <w:rsid w:val="00280D89"/>
    <w:rsid w:val="002811FB"/>
    <w:rsid w:val="00281EDE"/>
    <w:rsid w:val="002925E2"/>
    <w:rsid w:val="002A5D12"/>
    <w:rsid w:val="002B3335"/>
    <w:rsid w:val="002B4426"/>
    <w:rsid w:val="002B7AC7"/>
    <w:rsid w:val="002C13AE"/>
    <w:rsid w:val="002C66D8"/>
    <w:rsid w:val="002D18ED"/>
    <w:rsid w:val="002E1CBB"/>
    <w:rsid w:val="002E3CC5"/>
    <w:rsid w:val="002E44CF"/>
    <w:rsid w:val="002F2AD4"/>
    <w:rsid w:val="002F31C6"/>
    <w:rsid w:val="002F350B"/>
    <w:rsid w:val="002F4345"/>
    <w:rsid w:val="0030387C"/>
    <w:rsid w:val="003108F9"/>
    <w:rsid w:val="00312323"/>
    <w:rsid w:val="003139DB"/>
    <w:rsid w:val="00315E97"/>
    <w:rsid w:val="00317FE7"/>
    <w:rsid w:val="00320554"/>
    <w:rsid w:val="003209FE"/>
    <w:rsid w:val="003227CD"/>
    <w:rsid w:val="003272D8"/>
    <w:rsid w:val="00332138"/>
    <w:rsid w:val="0033369D"/>
    <w:rsid w:val="00337236"/>
    <w:rsid w:val="00340743"/>
    <w:rsid w:val="00340D9E"/>
    <w:rsid w:val="00345C78"/>
    <w:rsid w:val="00347AEE"/>
    <w:rsid w:val="00354CF6"/>
    <w:rsid w:val="003561EC"/>
    <w:rsid w:val="00360FCC"/>
    <w:rsid w:val="0036139C"/>
    <w:rsid w:val="003627B0"/>
    <w:rsid w:val="003726B3"/>
    <w:rsid w:val="00395B9E"/>
    <w:rsid w:val="003B0A76"/>
    <w:rsid w:val="003B21FA"/>
    <w:rsid w:val="003B26F4"/>
    <w:rsid w:val="003B607F"/>
    <w:rsid w:val="003C120C"/>
    <w:rsid w:val="003D0412"/>
    <w:rsid w:val="003E06A0"/>
    <w:rsid w:val="003E252F"/>
    <w:rsid w:val="003F3686"/>
    <w:rsid w:val="00400B73"/>
    <w:rsid w:val="004019CE"/>
    <w:rsid w:val="00410B29"/>
    <w:rsid w:val="00423A70"/>
    <w:rsid w:val="004248BB"/>
    <w:rsid w:val="00426B63"/>
    <w:rsid w:val="00430BE1"/>
    <w:rsid w:val="004325A7"/>
    <w:rsid w:val="00434D9A"/>
    <w:rsid w:val="00435F0E"/>
    <w:rsid w:val="00436042"/>
    <w:rsid w:val="00443D82"/>
    <w:rsid w:val="0046133F"/>
    <w:rsid w:val="00463FE7"/>
    <w:rsid w:val="0047181C"/>
    <w:rsid w:val="004774FD"/>
    <w:rsid w:val="00477983"/>
    <w:rsid w:val="004843E5"/>
    <w:rsid w:val="00485E4C"/>
    <w:rsid w:val="0048750F"/>
    <w:rsid w:val="0049121E"/>
    <w:rsid w:val="004913E0"/>
    <w:rsid w:val="004A39B6"/>
    <w:rsid w:val="004C0286"/>
    <w:rsid w:val="004E78A5"/>
    <w:rsid w:val="004F1CDB"/>
    <w:rsid w:val="004F3171"/>
    <w:rsid w:val="004F5946"/>
    <w:rsid w:val="00500AA2"/>
    <w:rsid w:val="00500EE3"/>
    <w:rsid w:val="00524A8F"/>
    <w:rsid w:val="00530948"/>
    <w:rsid w:val="00532AC9"/>
    <w:rsid w:val="005331D7"/>
    <w:rsid w:val="00534BEC"/>
    <w:rsid w:val="005373A3"/>
    <w:rsid w:val="00544E09"/>
    <w:rsid w:val="00544F9B"/>
    <w:rsid w:val="00546A62"/>
    <w:rsid w:val="00546BFD"/>
    <w:rsid w:val="00551438"/>
    <w:rsid w:val="0055173D"/>
    <w:rsid w:val="00553BA5"/>
    <w:rsid w:val="0056085F"/>
    <w:rsid w:val="00565FE8"/>
    <w:rsid w:val="00576C1E"/>
    <w:rsid w:val="00577C44"/>
    <w:rsid w:val="00577DA0"/>
    <w:rsid w:val="00583636"/>
    <w:rsid w:val="00586BE9"/>
    <w:rsid w:val="00587E06"/>
    <w:rsid w:val="0059408A"/>
    <w:rsid w:val="005A76DF"/>
    <w:rsid w:val="005C0EF7"/>
    <w:rsid w:val="005C2123"/>
    <w:rsid w:val="005C5E5A"/>
    <w:rsid w:val="005D0823"/>
    <w:rsid w:val="005D75E9"/>
    <w:rsid w:val="005E6C74"/>
    <w:rsid w:val="005F0335"/>
    <w:rsid w:val="005F062D"/>
    <w:rsid w:val="005F31CB"/>
    <w:rsid w:val="005F334B"/>
    <w:rsid w:val="0060355E"/>
    <w:rsid w:val="0061086E"/>
    <w:rsid w:val="006118CD"/>
    <w:rsid w:val="00612873"/>
    <w:rsid w:val="00612D50"/>
    <w:rsid w:val="00613766"/>
    <w:rsid w:val="00613B4A"/>
    <w:rsid w:val="00617B33"/>
    <w:rsid w:val="00625C0A"/>
    <w:rsid w:val="00630293"/>
    <w:rsid w:val="00631A9B"/>
    <w:rsid w:val="00637E01"/>
    <w:rsid w:val="0064789A"/>
    <w:rsid w:val="00660A4F"/>
    <w:rsid w:val="006704D1"/>
    <w:rsid w:val="00670576"/>
    <w:rsid w:val="00670D7F"/>
    <w:rsid w:val="00672078"/>
    <w:rsid w:val="00672E11"/>
    <w:rsid w:val="00677B5A"/>
    <w:rsid w:val="006840FF"/>
    <w:rsid w:val="00686307"/>
    <w:rsid w:val="00694B5E"/>
    <w:rsid w:val="00694DDB"/>
    <w:rsid w:val="006963C4"/>
    <w:rsid w:val="00696ADC"/>
    <w:rsid w:val="00697099"/>
    <w:rsid w:val="006A599D"/>
    <w:rsid w:val="006A6B2D"/>
    <w:rsid w:val="006B2E61"/>
    <w:rsid w:val="006B6C11"/>
    <w:rsid w:val="006C1A3C"/>
    <w:rsid w:val="006C3810"/>
    <w:rsid w:val="006C461F"/>
    <w:rsid w:val="006C4CA0"/>
    <w:rsid w:val="006D4CC6"/>
    <w:rsid w:val="006D7656"/>
    <w:rsid w:val="006E5F0E"/>
    <w:rsid w:val="006F1028"/>
    <w:rsid w:val="006F2E18"/>
    <w:rsid w:val="006F37C3"/>
    <w:rsid w:val="006F40E5"/>
    <w:rsid w:val="006F633E"/>
    <w:rsid w:val="00701D6A"/>
    <w:rsid w:val="00702C58"/>
    <w:rsid w:val="007048AC"/>
    <w:rsid w:val="00711E1E"/>
    <w:rsid w:val="00713FA8"/>
    <w:rsid w:val="00715E20"/>
    <w:rsid w:val="00723C30"/>
    <w:rsid w:val="007335C2"/>
    <w:rsid w:val="00740B99"/>
    <w:rsid w:val="00742101"/>
    <w:rsid w:val="007443D5"/>
    <w:rsid w:val="007449D9"/>
    <w:rsid w:val="00744C70"/>
    <w:rsid w:val="0074790B"/>
    <w:rsid w:val="00751637"/>
    <w:rsid w:val="0075186B"/>
    <w:rsid w:val="0077296B"/>
    <w:rsid w:val="00776187"/>
    <w:rsid w:val="0078165C"/>
    <w:rsid w:val="00786103"/>
    <w:rsid w:val="0079333C"/>
    <w:rsid w:val="00794EB1"/>
    <w:rsid w:val="00796592"/>
    <w:rsid w:val="007967C1"/>
    <w:rsid w:val="00797577"/>
    <w:rsid w:val="007975C2"/>
    <w:rsid w:val="007A0AC3"/>
    <w:rsid w:val="007A137D"/>
    <w:rsid w:val="007A2C36"/>
    <w:rsid w:val="007B5446"/>
    <w:rsid w:val="007B5A61"/>
    <w:rsid w:val="007B6A8A"/>
    <w:rsid w:val="007D6A67"/>
    <w:rsid w:val="007E026E"/>
    <w:rsid w:val="007E0328"/>
    <w:rsid w:val="007E0DC4"/>
    <w:rsid w:val="007E4F84"/>
    <w:rsid w:val="007F177B"/>
    <w:rsid w:val="0080472E"/>
    <w:rsid w:val="00804754"/>
    <w:rsid w:val="00807000"/>
    <w:rsid w:val="008138BF"/>
    <w:rsid w:val="00820420"/>
    <w:rsid w:val="008214BB"/>
    <w:rsid w:val="008304A2"/>
    <w:rsid w:val="008323B2"/>
    <w:rsid w:val="00834BDF"/>
    <w:rsid w:val="0083529C"/>
    <w:rsid w:val="00843472"/>
    <w:rsid w:val="008464A2"/>
    <w:rsid w:val="00851B0E"/>
    <w:rsid w:val="00855934"/>
    <w:rsid w:val="00857DC4"/>
    <w:rsid w:val="00860E36"/>
    <w:rsid w:val="008612EE"/>
    <w:rsid w:val="008640AA"/>
    <w:rsid w:val="00866654"/>
    <w:rsid w:val="00870EB2"/>
    <w:rsid w:val="00875AA0"/>
    <w:rsid w:val="00875F93"/>
    <w:rsid w:val="00881173"/>
    <w:rsid w:val="00893FF5"/>
    <w:rsid w:val="008946CD"/>
    <w:rsid w:val="008A1BE4"/>
    <w:rsid w:val="008A4307"/>
    <w:rsid w:val="008C07FC"/>
    <w:rsid w:val="008C2EB9"/>
    <w:rsid w:val="008C3206"/>
    <w:rsid w:val="008D1EC1"/>
    <w:rsid w:val="008D5D3C"/>
    <w:rsid w:val="008E61C2"/>
    <w:rsid w:val="008F1A9D"/>
    <w:rsid w:val="008F24F0"/>
    <w:rsid w:val="008F4497"/>
    <w:rsid w:val="009100AA"/>
    <w:rsid w:val="00910861"/>
    <w:rsid w:val="00910986"/>
    <w:rsid w:val="00911926"/>
    <w:rsid w:val="00912473"/>
    <w:rsid w:val="0092004B"/>
    <w:rsid w:val="009260E6"/>
    <w:rsid w:val="00936F39"/>
    <w:rsid w:val="00937D59"/>
    <w:rsid w:val="009436C3"/>
    <w:rsid w:val="0094439B"/>
    <w:rsid w:val="009478E4"/>
    <w:rsid w:val="0095194A"/>
    <w:rsid w:val="009523BF"/>
    <w:rsid w:val="0095311B"/>
    <w:rsid w:val="009544F9"/>
    <w:rsid w:val="00960F05"/>
    <w:rsid w:val="00962B4C"/>
    <w:rsid w:val="00963A12"/>
    <w:rsid w:val="00964982"/>
    <w:rsid w:val="0096567C"/>
    <w:rsid w:val="0096598E"/>
    <w:rsid w:val="00966703"/>
    <w:rsid w:val="00980EAA"/>
    <w:rsid w:val="00987ED8"/>
    <w:rsid w:val="00993D33"/>
    <w:rsid w:val="009A7394"/>
    <w:rsid w:val="009B26C4"/>
    <w:rsid w:val="009B721F"/>
    <w:rsid w:val="009C0E95"/>
    <w:rsid w:val="009C15A6"/>
    <w:rsid w:val="009C6128"/>
    <w:rsid w:val="009D1D5E"/>
    <w:rsid w:val="009E6D10"/>
    <w:rsid w:val="009F03F0"/>
    <w:rsid w:val="009F2154"/>
    <w:rsid w:val="009F61D9"/>
    <w:rsid w:val="00A00384"/>
    <w:rsid w:val="00A13E3E"/>
    <w:rsid w:val="00A140B6"/>
    <w:rsid w:val="00A16ADC"/>
    <w:rsid w:val="00A25FFB"/>
    <w:rsid w:val="00A267D5"/>
    <w:rsid w:val="00A26F39"/>
    <w:rsid w:val="00A372B9"/>
    <w:rsid w:val="00A41ABE"/>
    <w:rsid w:val="00A44637"/>
    <w:rsid w:val="00A50D0D"/>
    <w:rsid w:val="00A52870"/>
    <w:rsid w:val="00A57D52"/>
    <w:rsid w:val="00A6254D"/>
    <w:rsid w:val="00A65C58"/>
    <w:rsid w:val="00A66434"/>
    <w:rsid w:val="00A7093C"/>
    <w:rsid w:val="00A727AE"/>
    <w:rsid w:val="00A732D8"/>
    <w:rsid w:val="00A76445"/>
    <w:rsid w:val="00A77991"/>
    <w:rsid w:val="00A91261"/>
    <w:rsid w:val="00A93D09"/>
    <w:rsid w:val="00AA0E4C"/>
    <w:rsid w:val="00AA3FA1"/>
    <w:rsid w:val="00AB105A"/>
    <w:rsid w:val="00AC7CA9"/>
    <w:rsid w:val="00AE6395"/>
    <w:rsid w:val="00AF7821"/>
    <w:rsid w:val="00B20A9C"/>
    <w:rsid w:val="00B264F4"/>
    <w:rsid w:val="00B27EBA"/>
    <w:rsid w:val="00B27F8F"/>
    <w:rsid w:val="00B30145"/>
    <w:rsid w:val="00B34381"/>
    <w:rsid w:val="00B34709"/>
    <w:rsid w:val="00B41F07"/>
    <w:rsid w:val="00B42379"/>
    <w:rsid w:val="00B42561"/>
    <w:rsid w:val="00B42FA3"/>
    <w:rsid w:val="00B451D2"/>
    <w:rsid w:val="00B65651"/>
    <w:rsid w:val="00B734A5"/>
    <w:rsid w:val="00B76BC4"/>
    <w:rsid w:val="00B8013B"/>
    <w:rsid w:val="00B81600"/>
    <w:rsid w:val="00B81F67"/>
    <w:rsid w:val="00B94541"/>
    <w:rsid w:val="00B97472"/>
    <w:rsid w:val="00B97A31"/>
    <w:rsid w:val="00BA5814"/>
    <w:rsid w:val="00BA6CA9"/>
    <w:rsid w:val="00BC71C2"/>
    <w:rsid w:val="00BD4EC3"/>
    <w:rsid w:val="00BD6A30"/>
    <w:rsid w:val="00BD75A1"/>
    <w:rsid w:val="00BE7295"/>
    <w:rsid w:val="00BF116D"/>
    <w:rsid w:val="00C02078"/>
    <w:rsid w:val="00C07815"/>
    <w:rsid w:val="00C07F1B"/>
    <w:rsid w:val="00C10DA4"/>
    <w:rsid w:val="00C113BD"/>
    <w:rsid w:val="00C20E59"/>
    <w:rsid w:val="00C22526"/>
    <w:rsid w:val="00C24215"/>
    <w:rsid w:val="00C278C1"/>
    <w:rsid w:val="00C2794C"/>
    <w:rsid w:val="00C279DA"/>
    <w:rsid w:val="00C303D0"/>
    <w:rsid w:val="00C32C61"/>
    <w:rsid w:val="00C33A8F"/>
    <w:rsid w:val="00C359B7"/>
    <w:rsid w:val="00C47149"/>
    <w:rsid w:val="00C51306"/>
    <w:rsid w:val="00C530C4"/>
    <w:rsid w:val="00C54AE3"/>
    <w:rsid w:val="00C55C27"/>
    <w:rsid w:val="00C62715"/>
    <w:rsid w:val="00C76CC6"/>
    <w:rsid w:val="00C801CB"/>
    <w:rsid w:val="00C829FF"/>
    <w:rsid w:val="00C86968"/>
    <w:rsid w:val="00C919AA"/>
    <w:rsid w:val="00C948FA"/>
    <w:rsid w:val="00CB5CA9"/>
    <w:rsid w:val="00CC33B1"/>
    <w:rsid w:val="00CD19FD"/>
    <w:rsid w:val="00CE03B7"/>
    <w:rsid w:val="00CE0B87"/>
    <w:rsid w:val="00CE23A9"/>
    <w:rsid w:val="00CF2A3D"/>
    <w:rsid w:val="00CF4FDB"/>
    <w:rsid w:val="00D00B3A"/>
    <w:rsid w:val="00D0713F"/>
    <w:rsid w:val="00D1179B"/>
    <w:rsid w:val="00D11A1F"/>
    <w:rsid w:val="00D16CA9"/>
    <w:rsid w:val="00D20FD9"/>
    <w:rsid w:val="00D21DA2"/>
    <w:rsid w:val="00D255B4"/>
    <w:rsid w:val="00D30EE2"/>
    <w:rsid w:val="00D315DB"/>
    <w:rsid w:val="00D33249"/>
    <w:rsid w:val="00D40B0A"/>
    <w:rsid w:val="00D41E3A"/>
    <w:rsid w:val="00D46129"/>
    <w:rsid w:val="00D50A42"/>
    <w:rsid w:val="00D50A86"/>
    <w:rsid w:val="00D515DE"/>
    <w:rsid w:val="00D55EB2"/>
    <w:rsid w:val="00D635AE"/>
    <w:rsid w:val="00D643A8"/>
    <w:rsid w:val="00D71614"/>
    <w:rsid w:val="00D72DB0"/>
    <w:rsid w:val="00D73443"/>
    <w:rsid w:val="00D738E8"/>
    <w:rsid w:val="00D75DEB"/>
    <w:rsid w:val="00D760D6"/>
    <w:rsid w:val="00D848C6"/>
    <w:rsid w:val="00D9518F"/>
    <w:rsid w:val="00D9618F"/>
    <w:rsid w:val="00D97594"/>
    <w:rsid w:val="00DA04C0"/>
    <w:rsid w:val="00DA5233"/>
    <w:rsid w:val="00DB31B5"/>
    <w:rsid w:val="00DB5B5B"/>
    <w:rsid w:val="00DB7ACE"/>
    <w:rsid w:val="00DC3D9B"/>
    <w:rsid w:val="00DC63E5"/>
    <w:rsid w:val="00DD0C45"/>
    <w:rsid w:val="00DD0D23"/>
    <w:rsid w:val="00DD5928"/>
    <w:rsid w:val="00DE05EE"/>
    <w:rsid w:val="00DF4CA1"/>
    <w:rsid w:val="00E03C60"/>
    <w:rsid w:val="00E04FE7"/>
    <w:rsid w:val="00E10462"/>
    <w:rsid w:val="00E116D2"/>
    <w:rsid w:val="00E138E3"/>
    <w:rsid w:val="00E149BE"/>
    <w:rsid w:val="00E16C19"/>
    <w:rsid w:val="00E21E95"/>
    <w:rsid w:val="00E25EC1"/>
    <w:rsid w:val="00E46964"/>
    <w:rsid w:val="00E64622"/>
    <w:rsid w:val="00E75BB6"/>
    <w:rsid w:val="00E76088"/>
    <w:rsid w:val="00E76C13"/>
    <w:rsid w:val="00E76D13"/>
    <w:rsid w:val="00E80CD9"/>
    <w:rsid w:val="00E8632E"/>
    <w:rsid w:val="00E87456"/>
    <w:rsid w:val="00EA2287"/>
    <w:rsid w:val="00EB3830"/>
    <w:rsid w:val="00EB6D52"/>
    <w:rsid w:val="00EB6E2A"/>
    <w:rsid w:val="00EC79DA"/>
    <w:rsid w:val="00ED549B"/>
    <w:rsid w:val="00EE1DB2"/>
    <w:rsid w:val="00EF738E"/>
    <w:rsid w:val="00F10F16"/>
    <w:rsid w:val="00F13A7D"/>
    <w:rsid w:val="00F14253"/>
    <w:rsid w:val="00F159E6"/>
    <w:rsid w:val="00F20870"/>
    <w:rsid w:val="00F21406"/>
    <w:rsid w:val="00F24200"/>
    <w:rsid w:val="00F27E2C"/>
    <w:rsid w:val="00F324FB"/>
    <w:rsid w:val="00F34330"/>
    <w:rsid w:val="00F40015"/>
    <w:rsid w:val="00F442E1"/>
    <w:rsid w:val="00F52DD3"/>
    <w:rsid w:val="00F57CB5"/>
    <w:rsid w:val="00F64F81"/>
    <w:rsid w:val="00F67014"/>
    <w:rsid w:val="00F67B47"/>
    <w:rsid w:val="00F732C5"/>
    <w:rsid w:val="00F77BC1"/>
    <w:rsid w:val="00F855F2"/>
    <w:rsid w:val="00F869FD"/>
    <w:rsid w:val="00F90919"/>
    <w:rsid w:val="00F93AEA"/>
    <w:rsid w:val="00F94883"/>
    <w:rsid w:val="00FB6A64"/>
    <w:rsid w:val="00FC223A"/>
    <w:rsid w:val="00FC716D"/>
    <w:rsid w:val="00FD34CC"/>
    <w:rsid w:val="00FD661F"/>
    <w:rsid w:val="00FE080F"/>
    <w:rsid w:val="00FE5806"/>
    <w:rsid w:val="00FE7A34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FC76"/>
  <w15:docId w15:val="{99828D6C-5405-455D-AB56-DF51D72C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B4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B47"/>
    <w:pPr>
      <w:keepNext/>
      <w:outlineLvl w:val="0"/>
    </w:pPr>
    <w:rPr>
      <w:rFonts w:ascii="Times New (W1)" w:hAnsi="Times New (W1)"/>
      <w:b/>
      <w:smallCaps/>
      <w:color w:val="800000"/>
      <w:spacing w:val="80"/>
      <w:sz w:val="7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B47"/>
    <w:rPr>
      <w:rFonts w:ascii="Times New (W1)" w:eastAsia="Times New Roman" w:hAnsi="Times New (W1)" w:cs="Times New Roman"/>
      <w:b/>
      <w:smallCaps/>
      <w:color w:val="800000"/>
      <w:spacing w:val="80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1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1165E5"/>
    <w:pPr>
      <w:autoSpaceDE w:val="0"/>
      <w:autoSpaceDN w:val="0"/>
      <w:adjustRightInd w:val="0"/>
    </w:pPr>
    <w:rPr>
      <w:rFonts w:ascii="CFPHFA+Impact" w:hAnsi="CFPHFA+Impact" w:cs="CFPHFA+Impact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link w:val="BodyTextChar"/>
    <w:uiPriority w:val="99"/>
    <w:rsid w:val="001165E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165E5"/>
    <w:rPr>
      <w:rFonts w:ascii="CFPHFA+Impact" w:hAnsi="CFPHFA+Impac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2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msusv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B0BB-002B-4452-BEBF-E70FFAF0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Links>
    <vt:vector size="6" baseType="variant">
      <vt:variant>
        <vt:i4>3014706</vt:i4>
      </vt:variant>
      <vt:variant>
        <vt:i4>-1</vt:i4>
      </vt:variant>
      <vt:variant>
        <vt:i4>1026</vt:i4>
      </vt:variant>
      <vt:variant>
        <vt:i4>4</vt:i4>
      </vt:variant>
      <vt:variant>
        <vt:lpwstr>\\msusvr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bmgr</dc:creator>
  <cp:lastModifiedBy>Maggie Gallagher, Comptroller</cp:lastModifiedBy>
  <cp:revision>24</cp:revision>
  <cp:lastPrinted>2010-07-12T19:19:00Z</cp:lastPrinted>
  <dcterms:created xsi:type="dcterms:W3CDTF">2017-06-26T16:23:00Z</dcterms:created>
  <dcterms:modified xsi:type="dcterms:W3CDTF">2017-08-31T15:16:00Z</dcterms:modified>
</cp:coreProperties>
</file>